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1.png" ContentType="image/png"/>
  <Override PartName="/word/footnotes.xml" ContentType="application/vnd.openxmlformats-officedocument.wordprocessingml.footnotes+xml"/>
  <Override PartName="/word/comments.xml" ContentType="application/vnd.openxmlformats-officedocument.wordprocessingml.comments+xml"/>
  <Override PartName="/word/header1.xml" ContentType="application/vnd.openxmlformats-officedocument.wordprocessingml.head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footnotes.xml.rels" ContentType="application/vnd.openxmlformats-package.relationships+xml"/>
</Types>
</file>

<file path=_rels/.rels><?xml version="1.0" encoding="UTF-8"?>
<Relationships xmlns="http://schemas.openxmlformats.org/package/2006/relationships"><Relationship Id="rId1" Type="http://schemas.openxmlformats.org/officedocument/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bidi w:val="0"/>
        <w:spacing w:before="0" w:after="170"/>
        <w:jc w:val="start"/>
        <w:rPr>
          <w:i/>
          <w:i/>
          <w:iCs/>
        </w:rPr>
      </w:pPr>
      <w:r>
        <w:rPr/>
      </w:r>
    </w:p>
    <w:p>
      <w:pPr>
        <w:pStyle w:val="Normal"/>
        <w:bidi w:val="0"/>
        <w:spacing w:before="0" w:after="170"/>
        <w:jc w:val="start"/>
        <w:rPr>
          <w:i/>
          <w:i/>
          <w:iCs/>
        </w:rPr>
      </w:pPr>
      <w:r>
        <w:rPr>
          <w:i/>
          <w:iCs/>
        </w:rPr>
      </w:r>
    </w:p>
    <w:p>
      <w:pPr>
        <w:pStyle w:val="Normal"/>
        <w:widowControl/>
        <w:suppressAutoHyphens w:val="true"/>
        <w:overflowPunct w:val="false"/>
        <w:bidi w:val="0"/>
        <w:spacing w:before="0" w:after="170"/>
        <w:jc w:val="start"/>
        <w:rPr>
          <w:i/>
          <w:i/>
          <w:iCs/>
        </w:rPr>
      </w:pPr>
      <w:r>
        <w:rPr>
          <w:b/>
          <w:bCs/>
          <w:sz w:val="36"/>
          <w:szCs w:val="36"/>
        </w:rPr>
        <w:t>To Ms. Marija Pejčinović Burić, Secretary General of the Ccuncil of Europe</w:t>
      </w:r>
    </w:p>
    <w:p>
      <w:pPr>
        <w:pStyle w:val="Normal"/>
        <w:bidi w:val="0"/>
        <w:spacing w:before="0" w:after="170"/>
        <w:jc w:val="start"/>
        <w:rPr>
          <w:b/>
          <w:bCs/>
          <w:sz w:val="36"/>
          <w:szCs w:val="36"/>
        </w:rPr>
      </w:pPr>
      <w:r>
        <w:rPr>
          <w:b/>
          <w:bCs/>
          <w:sz w:val="36"/>
          <w:szCs w:val="36"/>
        </w:rPr>
        <w:t>From James Wimberley, retired staff member</w:t>
      </w:r>
    </w:p>
    <w:p>
      <w:pPr>
        <w:pStyle w:val="Normal"/>
        <w:bidi w:val="0"/>
        <w:spacing w:before="0" w:after="170"/>
        <w:jc w:val="start"/>
        <w:rPr>
          <w:sz w:val="36"/>
          <w:szCs w:val="36"/>
        </w:rPr>
      </w:pPr>
      <w:r>
        <w:rPr>
          <w:b/>
          <w:bCs/>
          <w:sz w:val="36"/>
          <w:szCs w:val="36"/>
        </w:rPr>
        <w:t>19</w:t>
      </w:r>
      <w:r>
        <w:rPr>
          <w:rFonts w:eastAsia="NSimSun" w:cs="Arial"/>
          <w:b/>
          <w:bCs/>
          <w:color w:val="auto"/>
          <w:lang w:val="en-GB" w:eastAsia="zh-CN" w:bidi="hi-IN"/>
        </w:rPr>
        <w:t xml:space="preserve"> May 2024</w:t>
      </w:r>
    </w:p>
    <w:p>
      <w:pPr>
        <w:pStyle w:val="Normal"/>
        <w:bidi w:val="0"/>
        <w:spacing w:before="0" w:after="170"/>
        <w:jc w:val="start"/>
        <w:rPr>
          <w:b/>
          <w:bCs/>
          <w:sz w:val="36"/>
          <w:szCs w:val="36"/>
        </w:rPr>
      </w:pPr>
      <w:r>
        <w:rPr>
          <w:b/>
          <w:bCs/>
          <w:sz w:val="36"/>
          <w:szCs w:val="36"/>
        </w:rPr>
      </w:r>
    </w:p>
    <w:p>
      <w:pPr>
        <w:pStyle w:val="Normal"/>
        <w:bidi w:val="0"/>
        <w:spacing w:before="0" w:after="170"/>
        <w:jc w:val="start"/>
        <w:rPr>
          <w:b/>
          <w:bCs/>
          <w:sz w:val="36"/>
          <w:szCs w:val="36"/>
        </w:rPr>
      </w:pPr>
      <w:r>
        <w:rPr>
          <w:b/>
          <w:bCs/>
          <w:sz w:val="36"/>
          <w:szCs w:val="36"/>
        </w:rPr>
        <w:t xml:space="preserve">Re: In the wake of the </w:t>
      </w:r>
      <w:r>
        <w:rPr>
          <w:b/>
          <w:bCs/>
          <w:i/>
          <w:iCs/>
          <w:sz w:val="36"/>
          <w:szCs w:val="36"/>
        </w:rPr>
        <w:t xml:space="preserve">Seniorinnen: </w:t>
      </w:r>
      <w:r>
        <w:rPr>
          <w:b/>
          <w:bCs/>
          <w:i w:val="false"/>
          <w:iCs w:val="false"/>
          <w:sz w:val="36"/>
          <w:szCs w:val="36"/>
        </w:rPr>
        <w:t>an open memo</w:t>
      </w:r>
    </w:p>
    <w:p>
      <w:pPr>
        <w:pStyle w:val="Normal"/>
        <w:bidi w:val="0"/>
        <w:spacing w:lineRule="auto" w:line="276" w:before="0" w:after="170"/>
        <w:jc w:val="start"/>
        <w:rPr>
          <w:b w:val="false"/>
          <w:bCs w:val="false"/>
          <w:i/>
          <w:i/>
          <w:iCs/>
          <w:sz w:val="28"/>
          <w:szCs w:val="28"/>
        </w:rPr>
      </w:pPr>
      <w:r>
        <w:rPr>
          <w:b w:val="false"/>
          <w:bCs w:val="false"/>
          <w:i/>
          <w:iCs/>
          <w:sz w:val="28"/>
          <w:szCs w:val="28"/>
        </w:rPr>
        <w:t>On 9 April 2024, the European Court of Human Rights handed down its judgement in case 3600/20, Verein Klimaseniorinnen v. Switzerland</w:t>
      </w:r>
      <w:r>
        <w:rPr>
          <w:rStyle w:val="FootnoteReference"/>
          <w:b w:val="false"/>
          <w:bCs w:val="false"/>
          <w:i/>
          <w:iCs/>
          <w:sz w:val="28"/>
          <w:szCs w:val="28"/>
        </w:rPr>
        <w:footnoteReference w:id="2"/>
      </w:r>
      <w:r>
        <w:rPr>
          <w:b w:val="false"/>
          <w:bCs w:val="false"/>
          <w:i/>
          <w:iCs/>
          <w:sz w:val="28"/>
          <w:szCs w:val="28"/>
        </w:rPr>
        <w:t xml:space="preserve"> It found that Switzerland had violated the right of the applicants to protection of their private and family life under Article 8 of the European Convention on Human Rights, through policy failures and breaches of its international commitments on climate change</w:t>
      </w:r>
      <w:r>
        <w:rPr>
          <w:b w:val="false"/>
          <w:bCs w:val="false"/>
          <w:i w:val="false"/>
          <w:iCs w:val="false"/>
          <w:sz w:val="28"/>
          <w:szCs w:val="28"/>
        </w:rPr>
        <w:t>.</w:t>
      </w:r>
    </w:p>
    <w:p>
      <w:pPr>
        <w:pStyle w:val="Normal"/>
        <w:bidi w:val="0"/>
        <w:spacing w:lineRule="auto" w:line="276" w:before="0" w:after="170"/>
        <w:jc w:val="start"/>
        <w:rPr>
          <w:i w:val="false"/>
          <w:i w:val="false"/>
          <w:iCs w:val="false"/>
        </w:rPr>
      </w:pPr>
      <w:r>
        <w:rPr>
          <w:i w:val="false"/>
          <w:iCs w:val="false"/>
        </w:rPr>
        <w:t>1.</w:t>
        <w:tab/>
        <w:t>Good for them of course, and good for all of us. The trouble they and the ECHR judges are creating for the leaders of the European polity has only just started. This group includes you as their common steward. The next stage involves the monitoring of the execution of the judgement by the two political organs of the Council of Euro</w:t>
      </w:r>
      <w:r>
        <w:rPr/>
        <w:commentReference w:id="0"/>
      </w:r>
      <w:r>
        <w:rPr>
          <w:i w:val="false"/>
          <w:iCs w:val="false"/>
        </w:rPr>
        <w:t>pe. It would expose tensions between them even if it only concerned Switzerland, but the transborder nature of climate change, and the wide-ranging inter-state coordination it has led to, call into question the core policies of all the Member States. They now test the credibility of the ECHR and the Council of Europe.</w:t>
      </w:r>
    </w:p>
    <w:p>
      <w:pPr>
        <w:pStyle w:val="Normal"/>
        <w:bidi w:val="0"/>
        <w:spacing w:lineRule="auto" w:line="276" w:before="0" w:after="170"/>
        <w:jc w:val="start"/>
        <w:rPr>
          <w:i w:val="false"/>
          <w:i w:val="false"/>
          <w:iCs w:val="false"/>
        </w:rPr>
      </w:pPr>
      <w:r>
        <w:rPr>
          <w:i w:val="false"/>
          <w:iCs w:val="false"/>
        </w:rPr>
        <w:t xml:space="preserve">2. </w:t>
        <w:tab/>
        <w:t>On a narrowly legalistic reading of Article 46 of the Convention, the monitoring obligation of the Committee of Ministers is merely to examine reports by the offending State on the action it has taken and possibly vote on ”whether that Party has failed to fulfil its obligation under paragraph 1.” Any further “consideration of the measures to be taken” is left studiously vague, and suspension from membership is obviously inappropriate given that the other members are equally culpable. The temptation will be to focus on the procedural judicial reforms required by the judgement, on which the Council of Europe has the relevant expertise, and leave the wider monitoring of climate policy – on which it is not expert – to the extensive and sophisticated monitoring process set up by the Paris Agreement.</w:t>
      </w:r>
    </w:p>
    <w:p>
      <w:pPr>
        <w:pStyle w:val="Normal"/>
        <w:bidi w:val="0"/>
        <w:spacing w:lineRule="auto" w:line="276" w:before="0" w:after="170"/>
        <w:jc w:val="start"/>
        <w:rPr>
          <w:i w:val="false"/>
          <w:i w:val="false"/>
          <w:iCs w:val="false"/>
        </w:rPr>
      </w:pPr>
      <w:r>
        <w:rPr>
          <w:i w:val="false"/>
          <w:iCs w:val="false"/>
        </w:rPr>
        <w:t>3.</w:t>
        <w:tab/>
        <w:t xml:space="preserve">This minimalist approach would be widely and rightly seen as a feeble cop-out. Alternatively, a more expansive monitoring could be defended as a contribution to the democratic dialogue between the discourse of individual rights and that of majority rule, such as the partially direct democracy of Switzerland. I take it that the Court’s findings in paragraph 657 on the yes/no questions of violations, or not, of the </w:t>
      </w:r>
      <w:r>
        <w:rPr/>
        <w:commentReference w:id="1"/>
      </w:r>
      <w:r>
        <w:rPr>
          <w:i w:val="false"/>
          <w:iCs w:val="false"/>
        </w:rPr>
        <w:t xml:space="preserve">Convention are binding for the purposes of Article 46. This absolute credence cannot possibly be extended to every word of a reasoned judgement of 231 single-spaced pages. The judges rightly highlight the “margin of appreciation” the Convention grants Member States in </w:t>
      </w:r>
      <w:r>
        <w:rPr/>
        <w:commentReference w:id="2"/>
      </w:r>
      <w:r>
        <w:rPr>
          <w:i w:val="false"/>
          <w:iCs w:val="false"/>
        </w:rPr>
        <w:t>the means of protection of the rights it declares. I suggest that as matter of common sense, the democratic court of public opinion needs also to recognize a “margin of reflection” as to their ends.</w:t>
      </w:r>
    </w:p>
    <w:p>
      <w:pPr>
        <w:pStyle w:val="Normal"/>
        <w:bidi w:val="0"/>
        <w:spacing w:lineRule="auto" w:line="276" w:before="0" w:after="170"/>
        <w:jc w:val="start"/>
        <w:rPr>
          <w:i w:val="false"/>
          <w:i w:val="false"/>
          <w:iCs w:val="false"/>
        </w:rPr>
      </w:pPr>
      <w:r>
        <w:rPr>
          <w:i w:val="false"/>
          <w:iCs w:val="false"/>
        </w:rPr>
        <w:t xml:space="preserve">4. </w:t>
        <w:tab/>
        <w:t xml:space="preserve">In this spirit I propose to make your immediate headache even worse by pointing out three important aspects where the judgement is not wrong but </w:t>
      </w:r>
      <w:r>
        <w:rPr>
          <w:b/>
          <w:bCs/>
          <w:i w:val="false"/>
          <w:iCs w:val="false"/>
        </w:rPr>
        <w:t>seriously incomplete</w:t>
      </w:r>
      <w:r>
        <w:rPr>
          <w:i w:val="false"/>
          <w:iCs w:val="false"/>
        </w:rPr>
        <w:t>. If I am right, including them in the Article 46 dialogue could enrich the debate and foster more satisfactory policy outcomes, not only in Switzerland but in other member States. If you do not share this assessment, I invite you to circulate my memo within the various branches of the Secretariat as a contribution to their ongoing work on these critical matters.</w:t>
      </w:r>
    </w:p>
    <w:p>
      <w:pPr>
        <w:pStyle w:val="Normal"/>
        <w:bidi w:val="0"/>
        <w:spacing w:lineRule="auto" w:line="276" w:before="0" w:after="170"/>
        <w:jc w:val="start"/>
        <w:rPr>
          <w:i w:val="false"/>
          <w:i w:val="false"/>
          <w:iCs w:val="false"/>
        </w:rPr>
      </w:pPr>
      <w:r>
        <w:rPr>
          <w:i w:val="false"/>
          <w:iCs w:val="false"/>
        </w:rPr>
        <w:t>5.</w:t>
        <w:tab/>
        <w:t xml:space="preserve">I will discuss these issues in increasing order of importance – not in the abstract but in reference to the present case. The reader pressed for time can skip to paragraph 17, omitting the next and necessarily technical section. </w:t>
      </w:r>
    </w:p>
    <w:p>
      <w:pPr>
        <w:pStyle w:val="Normal"/>
        <w:bidi w:val="0"/>
        <w:spacing w:lineRule="auto" w:line="276" w:before="0" w:after="170"/>
        <w:jc w:val="start"/>
        <w:rPr>
          <w:b/>
          <w:bCs/>
        </w:rPr>
      </w:pPr>
      <w:r>
        <w:rPr/>
        <w:commentReference w:id="3"/>
      </w:r>
    </w:p>
    <w:p>
      <w:pPr>
        <w:pStyle w:val="Normal"/>
        <w:bidi w:val="0"/>
        <w:spacing w:lineRule="auto" w:line="276" w:before="0" w:after="170"/>
        <w:jc w:val="start"/>
        <w:rPr>
          <w:b/>
          <w:bCs/>
          <w:i w:val="false"/>
          <w:i w:val="false"/>
          <w:iCs w:val="false"/>
        </w:rPr>
      </w:pPr>
      <w:r>
        <w:rPr>
          <w:b/>
          <w:bCs/>
          <w:i w:val="false"/>
          <w:iCs w:val="false"/>
        </w:rPr>
        <w:t>Intergenerational equity</w:t>
      </w:r>
    </w:p>
    <w:p>
      <w:pPr>
        <w:pStyle w:val="Normal"/>
        <w:bidi w:val="0"/>
        <w:spacing w:lineRule="auto" w:line="276" w:before="0" w:after="170"/>
        <w:jc w:val="start"/>
        <w:rPr>
          <w:i w:val="false"/>
          <w:i w:val="false"/>
          <w:iCs w:val="false"/>
        </w:rPr>
      </w:pPr>
      <w:r>
        <w:rPr>
          <w:i w:val="false"/>
          <w:iCs w:val="false"/>
        </w:rPr>
        <w:t xml:space="preserve">6. </w:t>
        <w:tab/>
        <w:t>In paragraph 420, the judges muse about fairness between generations: “In the present context, having regard to the prospect of aggravating consequences arising for future generations, the intergenerational perspective underscores the risk inherent in the relevant political decision-making processes, namely that short-term interests and concerns may come to prevail over, and at the expense of, pressing needs for sustainable policy-making, rendering that risk particularly serious and adding justification for the possibility of judicial review.”</w:t>
      </w:r>
    </w:p>
    <w:p>
      <w:pPr>
        <w:pStyle w:val="BodyText"/>
        <w:bidi w:val="0"/>
        <w:spacing w:before="0" w:after="170"/>
        <w:jc w:val="start"/>
        <w:rPr/>
      </w:pPr>
      <w:r>
        <w:rPr/>
        <w:t>7.</w:t>
        <w:tab/>
        <w:t xml:space="preserve">It is unclear where the Court is going with this. Neither it nor national judiciaries can plausibly claim a general mandate to act as a “Ministry of the Future” </w:t>
      </w:r>
      <w:r>
        <w:rPr>
          <w:rStyle w:val="FootnoteReference"/>
        </w:rPr>
        <w:footnoteReference w:id="3"/>
      </w:r>
      <w:r>
        <w:rPr/>
        <w:t xml:space="preserve"> and protector of the billions unborn. The Court did note that Switzerland and the other member states have freely accepted quite specific obligations of climate equity to future generations through the Rio Convention and its progeny, notably the Paris Agreement. </w:t>
      </w:r>
      <w:r>
        <w:rPr>
          <w:i/>
          <w:iCs/>
        </w:rPr>
        <w:t>Pacta sunt servanda</w:t>
      </w:r>
      <w:r>
        <w:rPr/>
        <w:t xml:space="preserve"> is not a radical novelty but the founding principle of international law. It is quite sufficient to establish an obligation under Articles 1 and 46 of the ECHR not just to offer redress to injured applicants but to take general measures to prevent a recurrence. These measures will often, through the interconnectedness of social life, involve issues beyond those raised in the original Convention application. But the Court’s role in this is necessar</w:t>
      </w:r>
      <w:r>
        <w:rPr/>
        <w:commentReference w:id="4"/>
      </w:r>
      <w:r>
        <w:rPr/>
        <w:t xml:space="preserve">ily limited. The moral authority of the Court and national judiciaries stems in good part from the </w:t>
      </w:r>
      <w:r>
        <w:rPr>
          <w:i/>
          <w:iCs/>
        </w:rPr>
        <w:t>limitations</w:t>
      </w:r>
      <w:r>
        <w:rPr/>
        <w:t xml:space="preserve"> of their mandate: to rule </w:t>
      </w:r>
      <w:r>
        <w:rPr>
          <w:i/>
          <w:iCs/>
        </w:rPr>
        <w:t>ratione personae</w:t>
      </w:r>
      <w:r>
        <w:rPr/>
        <w:t xml:space="preserve"> on the cases brought before them by specific living applicants, and not on hypothetical ones not brought</w:t>
      </w:r>
      <w:r>
        <w:rPr>
          <w:rStyle w:val="FootnoteReference"/>
        </w:rPr>
        <w:footnoteReference w:id="4"/>
      </w:r>
      <w:r>
        <w:rPr/>
        <w:t xml:space="preserve"> by living non-applicants, the dead, and the unborn; and </w:t>
      </w:r>
      <w:r>
        <w:rPr>
          <w:i/>
          <w:iCs/>
        </w:rPr>
        <w:t xml:space="preserve">ratione materiae </w:t>
      </w:r>
      <w:r>
        <w:rPr>
          <w:i w:val="false"/>
          <w:iCs w:val="false"/>
        </w:rPr>
        <w:t>on the application of the Convention, and not on general issues of policy, law and ethics beyond those directly called into play by their prime task.</w:t>
      </w:r>
    </w:p>
    <w:p>
      <w:pPr>
        <w:pStyle w:val="BodyText"/>
        <w:bidi w:val="0"/>
        <w:spacing w:before="0" w:after="170"/>
        <w:jc w:val="start"/>
        <w:rPr/>
      </w:pPr>
      <w:r>
        <w:rPr/>
        <w:t>8.</w:t>
        <w:tab/>
        <w:t xml:space="preserve">That said, there is merit in the Court’s observations on </w:t>
      </w:r>
      <w:r>
        <w:rPr>
          <w:i w:val="false"/>
          <w:iCs w:val="false"/>
        </w:rPr>
        <w:t xml:space="preserve">the temptations of short-termism to which even mature democracies are </w:t>
      </w:r>
      <w:r>
        <w:rPr/>
        <w:t>prone – though I am not aware of any evidence that autocracies are any improvement. Whether or not this issue is taken up under Article 46, making democracies work better is clearly within the core mission of the Council of Europe.</w:t>
      </w:r>
    </w:p>
    <w:p>
      <w:pPr>
        <w:pStyle w:val="BodyText"/>
        <w:bidi w:val="0"/>
        <w:spacing w:before="0" w:after="170"/>
        <w:jc w:val="start"/>
        <w:rPr/>
      </w:pPr>
      <w:r>
        <w:rPr/>
        <w:t>9.</w:t>
        <w:tab/>
        <w:t>The likely objection to studying short-termism is that it’s an inbuilt flaw in human nature, and nothing can be done about it. While the first half of this proposition is probably true, the second part is probably false. We humans very greatly in our capacity for deferred gratification. In rather heartless</w:t>
      </w:r>
    </w:p>
    <w:p>
      <w:pPr>
        <w:pStyle w:val="BodyText"/>
        <w:bidi w:val="0"/>
        <w:spacing w:before="0" w:after="170"/>
        <w:jc w:val="start"/>
        <w:rPr/>
      </w:pPr>
      <w:r>
        <w:rPr/>
        <w:t>experiments, infants have been offered a marshmallow – with the promise of a second if they can wait ten minutes or so before eating the first.</w:t>
      </w:r>
      <w:r>
        <w:rPr>
          <w:rStyle w:val="FootnoteReference"/>
        </w:rPr>
        <w:footnoteReference w:id="5"/>
      </w:r>
      <w:r>
        <w:rPr/>
        <w:t xml:space="preserve"> Results vary and are also affected by the exact conditions of the experiment, family background etc : nurture as well as nature. The same holds for many others of our hardy cognitive biases, as helpfully laid out for us by the late great Daniel Kahneman.</w:t>
      </w:r>
      <w:r>
        <w:rPr>
          <w:rStyle w:val="FootnoteReference"/>
        </w:rPr>
        <w:footnoteReference w:id="6"/>
      </w:r>
      <w:r>
        <w:rPr/>
        <w:t xml:space="preserve"> Overcoming our cognitive biases, or merely holding them in check, is not impossible, but it is a lifelong project for an individual, </w:t>
      </w:r>
      <w:r>
        <w:rPr>
          <w:lang w:val="en-US"/>
        </w:rPr>
        <w:t>o</w:t>
      </w:r>
      <w:r>
        <w:rPr/>
        <w:t>r a secular one for a society. At first sight, it does not lend itself to the methods of intergovernmental cooperation.</w:t>
      </w:r>
    </w:p>
    <w:p>
      <w:pPr>
        <w:pStyle w:val="BodyText"/>
        <w:bidi w:val="0"/>
        <w:spacing w:before="0" w:after="170"/>
        <w:jc w:val="start"/>
        <w:rPr/>
      </w:pPr>
      <w:r>
        <w:rPr/>
        <w:t>10.</w:t>
        <w:tab/>
        <w:t xml:space="preserve">However, a less ambitious project does suggest itself: adopting specific tools of low-bias policy analysis that deserve a best practice sticker, promoting a better framing of democratic debate and decision-making. I will limit myself here to two candidates, carbon pricing and social discount rates. </w:t>
      </w:r>
    </w:p>
    <w:p>
      <w:pPr>
        <w:pStyle w:val="BodyText"/>
        <w:bidi w:val="0"/>
        <w:spacing w:before="0" w:after="170"/>
        <w:jc w:val="start"/>
        <w:rPr/>
      </w:pPr>
      <w:r>
        <w:rPr/>
        <w:t>11.</w:t>
        <w:tab/>
        <w:t>There is close to a professional consensus among economists that the optimal, and for some sufficient, policies for combating climate change include Pigovian</w:t>
      </w:r>
      <w:r>
        <w:rPr>
          <w:rStyle w:val="FootnoteReference"/>
        </w:rPr>
        <w:footnoteReference w:id="7"/>
      </w:r>
      <w:r>
        <w:rPr/>
        <w:t xml:space="preserve"> carbon taxes. These should reflect the large and growing externalities from emissions of greenhouse gases, and impose them systematically as a visible cost on firms, households and public administrations.  Carbon taxes are egalitarian, reasonably objective, agnostic between different technical solutions, and intrude only moderately on individual economic freedoms. Political obstacles often make it impracticable to levy such taxes, or levy them at a realistic rate, and with properly broad coverage. In that case, a useful second best is to set a shadow carbon price for evaluating proposals for new public spending, taxation or regulation, and apply them consistently across government</w:t>
      </w:r>
      <w:r>
        <w:rPr>
          <w:rStyle w:val="FootnoteReference"/>
        </w:rPr>
        <w:footnoteReference w:id="8"/>
      </w:r>
      <w:r>
        <w:rPr/>
        <w:t>.</w:t>
      </w:r>
    </w:p>
    <w:p>
      <w:pPr>
        <w:pStyle w:val="BodyText"/>
        <w:bidi w:val="0"/>
        <w:spacing w:before="0" w:after="170"/>
        <w:jc w:val="start"/>
        <w:rPr/>
      </w:pPr>
      <w:r>
        <w:rPr/>
        <w:t>12.</w:t>
        <w:tab/>
        <w:t>The OECD has been tracking national carbon prices since 2016. Its latest survey updates the data to 2023</w:t>
      </w:r>
      <w:r>
        <w:rPr>
          <w:rStyle w:val="FootnoteReference"/>
        </w:rPr>
        <w:footnoteReference w:id="9"/>
      </w:r>
      <w:r>
        <w:rPr/>
        <w:t xml:space="preserve">. In the same year it launched an </w:t>
      </w:r>
      <w:r>
        <w:rPr>
          <w:b w:val="false"/>
          <w:bCs w:val="false"/>
        </w:rPr>
        <w:t>“</w:t>
      </w:r>
      <w:r>
        <w:rPr>
          <w:rStyle w:val="Strong"/>
          <w:b w:val="false"/>
          <w:bCs w:val="false"/>
        </w:rPr>
        <w:t>Inclusive Forum on Carbon Mitigation Approaches</w:t>
      </w:r>
      <w:r>
        <w:rPr>
          <w:b w:val="false"/>
          <w:bCs w:val="false"/>
        </w:rPr>
        <w:t xml:space="preserve"> (</w:t>
      </w:r>
      <w:r>
        <w:rPr>
          <w:rStyle w:val="Strong"/>
          <w:b w:val="false"/>
          <w:bCs w:val="false"/>
        </w:rPr>
        <w:t>IFCMA</w:t>
      </w:r>
      <w:r>
        <w:rPr>
          <w:b w:val="false"/>
          <w:bCs w:val="false"/>
        </w:rPr>
        <w:t>)” as a platform for mutual learning and discovery of good practice on the policies and policy tools of climate mitigation</w:t>
      </w:r>
      <w:r>
        <w:rPr>
          <w:rStyle w:val="FootnoteReference"/>
          <w:b w:val="false"/>
          <w:bCs w:val="false"/>
        </w:rPr>
        <w:footnoteReference w:id="10"/>
      </w:r>
      <w:r>
        <w:rPr>
          <w:b w:val="false"/>
          <w:bCs w:val="false"/>
        </w:rPr>
        <w:t>. It is not intended to set standards. I have not been able to identify other specific OECD work on real or shadow carbon pricing.</w:t>
      </w:r>
    </w:p>
    <w:p>
      <w:pPr>
        <w:pStyle w:val="BodyText"/>
        <w:bidi w:val="0"/>
        <w:spacing w:before="0" w:after="170"/>
        <w:jc w:val="start"/>
        <w:rPr/>
      </w:pPr>
      <w:r>
        <w:rPr>
          <w:b w:val="false"/>
          <w:bCs w:val="false"/>
        </w:rPr>
        <w:t>13.</w:t>
        <w:tab/>
        <w:t xml:space="preserve"> It might have surprised the Court, as it did me, to find that Switzerland has the highest effective average carbon price in the world, at €125 per tonne in 2021</w:t>
      </w:r>
      <w:r>
        <w:rPr>
          <w:rStyle w:val="FootnoteReference"/>
          <w:b w:val="false"/>
          <w:bCs w:val="false"/>
        </w:rPr>
        <w:footnoteReference w:id="11"/>
      </w:r>
      <w:r>
        <w:rPr>
          <w:b w:val="false"/>
          <w:bCs w:val="false"/>
        </w:rPr>
        <w:t>. A senior Swiss official, Herr Martin Baur, chairs the OECD’s new mitigation policy forum. The Committee of Ministers might want to hear his views.  At first sight, other member states should be taking lessons from Switzerland, not giving them. But the data cited by the Court are incontrovertible: Switzerland has not delivered on its Paris Agreement undertakings. Perhaps the consensus of economists is wrong, as it was in 1930, and carbon pricing needs to be be accompanied there – and of course in other member States - by more Churchillian rhetoric and more Colbertian action.</w:t>
      </w:r>
    </w:p>
    <w:p>
      <w:pPr>
        <w:pStyle w:val="BodyText"/>
        <w:bidi w:val="0"/>
        <w:spacing w:before="0" w:after="170"/>
        <w:jc w:val="start"/>
        <w:rPr/>
      </w:pPr>
      <w:r>
        <w:rPr>
          <w:b w:val="false"/>
          <w:bCs w:val="false"/>
        </w:rPr>
        <w:t xml:space="preserve">14. </w:t>
        <w:tab/>
        <w:t xml:space="preserve">Setting a trajectory for a carbon price requires picking a discount rate.  To take one example, the </w:t>
      </w:r>
      <w:r>
        <w:rPr/>
        <w:t>US Office of Management a</w:t>
      </w:r>
      <w:r>
        <w:rPr/>
        <w:commentReference w:id="5"/>
      </w:r>
      <w:r>
        <w:rPr/>
        <w:t>nd Budget (OMB), an executive agency directly under the President, recently promulgated a revised version of Circular A-4</w:t>
      </w:r>
      <w:r>
        <w:rPr>
          <w:rStyle w:val="FootnoteReference"/>
        </w:rPr>
        <w:footnoteReference w:id="12"/>
      </w:r>
      <w:r>
        <w:rPr/>
        <w:t xml:space="preserve">  on the methods of the cost-benefit analysis that federal agencies are legally required to carry out in preparing new regulations and investment project</w:t>
      </w:r>
      <w:r>
        <w:rPr/>
        <w:commentReference w:id="6"/>
      </w:r>
      <w:r>
        <w:rPr/>
        <w:t>s. They propose a uniform discount rate of 2.0% a year (page 76), corresponding to “the real (inflation-adjusted) rate of return on long-term U.S. government debt”.</w:t>
      </w:r>
    </w:p>
    <w:p>
      <w:pPr>
        <w:pStyle w:val="BodyText"/>
        <w:bidi w:val="0"/>
        <w:spacing w:before="0" w:after="170"/>
        <w:jc w:val="start"/>
        <w:rPr/>
      </w:pPr>
      <w:r>
        <w:rPr/>
        <w:t>15.</w:t>
        <w:tab/>
        <w:t>As a quick-and-dirty check on this number, we can approximate the rate of technical progress – the one good reason for society to discount future costs and benefits - by the long-term trend in real GDP per capita or per hour worked. For the most recent 20 years in the OECD area, these have been respectively 1.14% and 0.92% per annum</w:t>
      </w:r>
      <w:r>
        <w:rPr>
          <w:rStyle w:val="FootnoteReference"/>
        </w:rPr>
        <w:footnoteReference w:id="13"/>
      </w:r>
      <w:r>
        <w:rPr/>
        <w:t>. It is likely that GDP indicators, focussing on the production side of the economy, understate the welfare benefits of radically new consumer products like smartphones and new consumer services like video streaming and online banking; but very unlikely that a full correction would take the trend estimate above 2%.</w:t>
      </w:r>
    </w:p>
    <w:p>
      <w:pPr>
        <w:pStyle w:val="BodyText"/>
        <w:bidi w:val="0"/>
        <w:spacing w:before="0" w:after="170"/>
        <w:jc w:val="start"/>
        <w:rPr/>
      </w:pPr>
      <w:r>
        <w:rPr/>
        <w:t xml:space="preserve">16. </w:t>
        <w:tab/>
        <w:t>The professional literature on this is mind-bogglingly technical and as inaccessible to the ordinary citizen as those on say aviation safety, nuclear power, cybersecurity or gene modification. If democratic accountability is to be maintained, and not abandoned for technocracy, a worthwhile public debate on such matters requires careful and trustworthy interpretation of the technical one.</w:t>
      </w:r>
    </w:p>
    <w:p>
      <w:pPr>
        <w:pStyle w:val="BodyText"/>
        <w:bidi w:val="0"/>
        <w:spacing w:before="0" w:after="170"/>
        <w:jc w:val="start"/>
        <w:rPr/>
      </w:pPr>
      <w:r>
        <w:rPr/>
        <w:t>17.</w:t>
        <w:tab/>
        <w:t>As a first sketch for this on discounting, I underline a few key points.</w:t>
      </w:r>
    </w:p>
    <w:p>
      <w:pPr>
        <w:pStyle w:val="BodyText"/>
        <w:numPr>
          <w:ilvl w:val="0"/>
          <w:numId w:val="2"/>
        </w:numPr>
        <w:bidi w:val="0"/>
        <w:spacing w:before="0" w:after="170"/>
        <w:jc w:val="start"/>
        <w:rPr/>
      </w:pPr>
      <w:r>
        <w:rPr/>
        <w:t>The social rates of discount recommended by experts are very much lower than those routinely used in business. They suggest much higher rates of public investment on climate mitigation, or public support for private investment, than the level markets would generate without intervention.</w:t>
      </w:r>
    </w:p>
    <w:p>
      <w:pPr>
        <w:pStyle w:val="BodyText"/>
        <w:numPr>
          <w:ilvl w:val="0"/>
          <w:numId w:val="2"/>
        </w:numPr>
        <w:bidi w:val="0"/>
        <w:spacing w:before="0" w:after="170"/>
        <w:jc w:val="start"/>
        <w:rPr/>
      </w:pPr>
      <w:r>
        <w:rPr/>
        <w:t xml:space="preserve">It is reasonable for society as a whole to discount the future to reflect probable economic growth and advances in technology, which will give future generations a moderately better starting point for solving problems compared to ours.  Estimates for the correction are surprisingly low - and may even turn negative, on worst-case scenarios of climate damage. </w:t>
      </w:r>
    </w:p>
    <w:p>
      <w:pPr>
        <w:pStyle w:val="BodyText"/>
        <w:numPr>
          <w:ilvl w:val="0"/>
          <w:numId w:val="2"/>
        </w:numPr>
        <w:bidi w:val="0"/>
        <w:spacing w:before="0" w:after="170"/>
        <w:jc w:val="start"/>
        <w:rPr/>
      </w:pPr>
      <w:r>
        <w:rPr/>
        <w:t xml:space="preserve">Individual humans may discount the future because they themselves will certainly someday become ill and die, on an uncertain horizon. Some may put the interests of their grandchildren on a par with their own, others do not. Society is made up of the whole sequence of generations and is in principle immortal, so the death and incapacity risk does not apply. </w:t>
      </w:r>
    </w:p>
    <w:p>
      <w:pPr>
        <w:pStyle w:val="BodyText"/>
        <w:numPr>
          <w:ilvl w:val="0"/>
          <w:numId w:val="2"/>
        </w:numPr>
        <w:bidi w:val="0"/>
        <w:spacing w:before="0" w:after="170"/>
        <w:jc w:val="start"/>
        <w:rPr/>
      </w:pPr>
      <w:r>
        <w:rPr/>
        <w:t>In a market economy, investments by individuals, say in a new pizza restaurant, are often risky, just</w:t>
      </w:r>
      <w:r>
        <w:rPr/>
        <w:commentReference w:id="7"/>
      </w:r>
      <w:r>
        <w:rPr/>
        <w:t xml:space="preserve">ifying high rates of discount. Aggregating to society, the risk is much reduced: the assets of a failed pizzeria are recycled, the staff rehired. For society, the failure risk of a more pertinent  investment in for instance solar panels is virtually nil. </w:t>
      </w:r>
    </w:p>
    <w:p>
      <w:pPr>
        <w:pStyle w:val="BodyText"/>
        <w:numPr>
          <w:ilvl w:val="0"/>
          <w:numId w:val="2"/>
        </w:numPr>
        <w:bidi w:val="0"/>
        <w:spacing w:before="0" w:after="170"/>
        <w:ind w:hanging="0" w:start="0"/>
        <w:jc w:val="start"/>
        <w:rPr/>
      </w:pPr>
      <w:r>
        <w:rPr/>
        <w:t>Pure time preference – discounting the future in principle, independently of the three cases above – is generally, though not universally, thought to be morally improper by experts</w:t>
      </w:r>
      <w:r>
        <w:rPr>
          <w:rStyle w:val="FootnoteReference"/>
        </w:rPr>
        <w:footnoteReference w:id="14"/>
      </w:r>
      <w:r>
        <w:rPr/>
        <w:t>. Two simple arguments give the flavour of this opinion. One is that typical business rates of discount give intuitively repugnant conclusions when applied to the very long term. For instance, at a 5% real discount rate, the present value of a €2 ice cream cone today is higher than that of a hypothetical €6.5 billion of damage in 450 years’ time. Another is that time preference discriminates arbitrarily between the generations alive today, against the young and in favour of the old</w:t>
      </w:r>
      <w:r>
        <w:rPr>
          <w:rStyle w:val="FootnoteReference"/>
        </w:rPr>
        <w:footnoteReference w:id="15"/>
      </w:r>
      <w:r>
        <w:rPr/>
        <w:t>. The ethical equality of humans regardless of generations is a far more attractive and workable starting point for philosophers, legislators and of course judges.</w:t>
      </w:r>
    </w:p>
    <w:p>
      <w:pPr>
        <w:pStyle w:val="BodyText"/>
        <w:bidi w:val="0"/>
        <w:spacing w:before="0" w:after="170"/>
        <w:jc w:val="start"/>
        <w:rPr>
          <w:b/>
          <w:bCs/>
        </w:rPr>
      </w:pPr>
      <w:r>
        <w:rPr>
          <w:b/>
          <w:bCs/>
        </w:rPr>
      </w:r>
    </w:p>
    <w:p>
      <w:pPr>
        <w:pStyle w:val="BodyText"/>
        <w:bidi w:val="0"/>
        <w:spacing w:before="0" w:after="170"/>
        <w:jc w:val="start"/>
        <w:rPr>
          <w:b/>
          <w:bCs/>
        </w:rPr>
      </w:pPr>
      <w:r>
        <w:rPr>
          <w:b/>
          <w:bCs/>
        </w:rPr>
        <w:t>Overshoot</w:t>
      </w:r>
    </w:p>
    <w:p>
      <w:pPr>
        <w:pStyle w:val="BodyText"/>
        <w:bidi w:val="0"/>
        <w:spacing w:before="0" w:after="170"/>
        <w:jc w:val="start"/>
        <w:rPr/>
      </w:pPr>
      <w:r>
        <w:rPr/>
        <w:t>18.</w:t>
        <w:tab/>
        <w:t>The Court’s judgement relies on the strong scientific consensus laid out in successive IPCC reports, and the more fragile political one developed through the Rio Convention process and embodied in the 2015 Paris Agreement. Legally this is very sound, as these are the frame within which Switzerland made the commitments it has been found to have violated. Standing back, on reflection they do not merit uncritical adherence.</w:t>
      </w:r>
    </w:p>
    <w:p>
      <w:pPr>
        <w:pStyle w:val="BodyText"/>
        <w:bidi w:val="0"/>
        <w:spacing w:before="0" w:after="170"/>
        <w:jc w:val="start"/>
        <w:rPr/>
      </w:pPr>
      <w:r>
        <w:rPr/>
        <w:t>19.</w:t>
        <w:tab/>
        <w:t xml:space="preserve">The main problem with the IPCC </w:t>
      </w:r>
      <w:r>
        <w:rPr>
          <w:i/>
          <w:iCs/>
        </w:rPr>
        <w:t xml:space="preserve">scientific </w:t>
      </w:r>
      <w:r>
        <w:rPr/>
        <w:t>consensus is that the focus on central estimates of change understates the asymmetric long-tail risks from tipping points and positive feedback loops (methane release from melting permafrost, sea-level rise from collapsing ice sheets, ocean current flips, etc.). The IPCC has scrupulously documented these highly uncertain risks, and can’t be blamed if political leaders have simply ignored them – as I will for the rest of this contribution. I do however recall that the precautionary principle requires the measures responding to central estimates of outcomes to be treated as a minimum not a maximum.</w:t>
      </w:r>
    </w:p>
    <w:p>
      <w:pPr>
        <w:pStyle w:val="BodyText"/>
        <w:bidi w:val="0"/>
        <w:spacing w:before="0" w:after="170"/>
        <w:jc w:val="start"/>
        <w:rPr/>
      </w:pPr>
      <w:r>
        <w:rPr/>
        <w:t>20.</w:t>
        <w:tab/>
        <w:t xml:space="preserve">On the </w:t>
      </w:r>
      <w:r>
        <w:rPr>
          <w:i/>
          <w:iCs/>
        </w:rPr>
        <w:t>political</w:t>
      </w:r>
      <w:r>
        <w:rPr/>
        <w:t xml:space="preserve"> side, the Paris Agreement was a remarkable achievement, and still offers a good part of whatever hope the peoples of the world can still keep for a liveable future climate. It was still imperfect, in several important ways. The double temperature target – 2 degrees C above pre-industrial as a hard limit to global warming, plus a stretch target of 1.5 degrees if possible (Article 2.1.(a)) – was the fruit of diplomatic horse-trading</w:t>
      </w:r>
      <w:r>
        <w:rPr>
          <w:rStyle w:val="FootnoteReference"/>
        </w:rPr>
        <w:footnoteReference w:id="16"/>
      </w:r>
      <w:r>
        <w:rPr/>
        <w:t xml:space="preserve"> more than scientific advice. The 2 degree limit was first proposed in 1975 by Yale economist William Nordhaus, as a “deeply unsatisfactory” back-of-an-envelope b</w:t>
      </w:r>
      <w:r>
        <w:rPr/>
        <w:commentReference w:id="8"/>
      </w:r>
      <w:r>
        <w:rPr/>
        <w:t>alance of scientific input and social acceptability, and picked up in 1990 by the EU</w:t>
      </w:r>
      <w:r>
        <w:rPr>
          <w:rStyle w:val="FootnoteReference"/>
        </w:rPr>
        <w:footnoteReference w:id="17"/>
      </w:r>
      <w:r>
        <w:rPr/>
        <w:t>. Since 2015 the scientific warnings of the real implications of +2 degrees have become more dire, and the +1.5 degree target has gradually become the standard reference in politics.</w:t>
      </w:r>
    </w:p>
    <w:p>
      <w:pPr>
        <w:pStyle w:val="BodyText"/>
        <w:bidi w:val="0"/>
        <w:spacing w:before="0" w:after="170"/>
        <w:jc w:val="start"/>
        <w:rPr/>
      </w:pPr>
      <w:r>
        <w:rPr/>
        <w:t xml:space="preserve">21. </w:t>
        <w:tab/>
        <w:t>The international community has tacitly decided not to avoid the dangers of global warming but to test their limits of acceptability, rather as physicists in the Manhattan Project verified their calculations of critical mass by “tickling the dragon’s tail” with actual lumps of plutonium, separated by a screwdriver</w:t>
      </w:r>
      <w:r>
        <w:rPr>
          <w:rStyle w:val="FootnoteReference"/>
        </w:rPr>
        <w:footnoteReference w:id="18"/>
      </w:r>
      <w:r>
        <w:rPr/>
        <w:t xml:space="preserve">. It is now clear, as we near +1.5 degrees, that the </w:t>
      </w:r>
      <w:r>
        <w:rPr>
          <w:i/>
          <w:iCs/>
        </w:rPr>
        <w:t xml:space="preserve">current </w:t>
      </w:r>
      <w:r>
        <w:rPr/>
        <w:t>temperature (+1 point something) already imposes very large costs and immaterial burdens</w:t>
      </w:r>
      <w:r>
        <w:rPr>
          <w:i/>
          <w:iCs/>
        </w:rPr>
        <w:t xml:space="preserve"> today</w:t>
      </w:r>
      <w:r>
        <w:rPr/>
        <w:t xml:space="preserve">, in the form of heatwaves, torrential flooding, droughts, wildfires, more severe hurricanes, and the die-off of coral reefs, with worse certain to come. For now, citizens are for the most part apathetic or fatalistic about the prospect, but the determination of the </w:t>
      </w:r>
      <w:r>
        <w:rPr>
          <w:i/>
          <w:iCs/>
        </w:rPr>
        <w:t>Seniorinnen</w:t>
      </w:r>
      <w:r>
        <w:rPr/>
        <w:t xml:space="preserve"> and the Portuguese school students may be a portent of a wider change in public opinion.</w:t>
      </w:r>
    </w:p>
    <w:p>
      <w:pPr>
        <w:pStyle w:val="BodyText"/>
        <w:bidi w:val="0"/>
        <w:spacing w:before="0" w:after="170"/>
        <w:jc w:val="start"/>
        <w:rPr/>
      </w:pPr>
      <w:r>
        <w:rPr/>
        <w:commentReference w:id="9"/>
      </w:r>
      <w:r>
        <w:rPr/>
        <w:t>22.</w:t>
        <w:tab/>
        <w:t xml:space="preserve">Climate politics, in both élite and street flavours, is about to undergo a major shock as </w:t>
      </w:r>
      <w:r>
        <w:rPr/>
        <w:commentReference w:id="10"/>
      </w:r>
      <w:r>
        <w:rPr/>
        <w:t>the atmosphere breezes past the +1.5 degree target and gives the Paris Agreement its first incontrovertible defeat. I have no insights on the street side, and can only record my hope that the event will galvanise activism but not violence. The élite, including you, may try denial but this will be short-lived. The first real option will be to shrug off the defeat, Dunkirk style, and fight on to defend the +2 degree limit, using the existing – and now partly discredited -methods of the Paris Agreement. This is hardly an inspiring prospect.</w:t>
      </w:r>
    </w:p>
    <w:p>
      <w:pPr>
        <w:pStyle w:val="BodyText"/>
        <w:bidi w:val="0"/>
        <w:spacing w:before="0" w:after="170"/>
        <w:jc w:val="start"/>
        <w:rPr/>
      </w:pPr>
      <w:r>
        <w:rPr/>
        <w:commentReference w:id="11"/>
      </w:r>
      <w:r>
        <w:rPr/>
        <w:t>23.</w:t>
        <w:tab/>
        <w:t xml:space="preserve">The better option is to open a second front and add the overshoot problem and carbon clawback to the main agenda. This is not a minor cosmetic detail, but requires rethinking the whole approach. The issue is simple to state: </w:t>
      </w:r>
      <w:r>
        <w:rPr>
          <w:b/>
          <w:bCs/>
          <w:i/>
          <w:iCs/>
        </w:rPr>
        <w:t>whether to attempt a restoration of a satisfactory global climate, reversing future and current excess GHG emissions through the massive capture and long-term sequestration of atmospheric carbon.</w:t>
      </w:r>
      <w:r>
        <w:rPr/>
        <w:t xml:space="preserve"> </w:t>
      </w:r>
    </w:p>
    <w:p>
      <w:pPr>
        <w:pStyle w:val="BodyText"/>
        <w:bidi w:val="0"/>
        <w:spacing w:before="0" w:after="170"/>
        <w:jc w:val="start"/>
        <w:rPr/>
      </w:pPr>
      <w:r>
        <w:rPr/>
        <w:t xml:space="preserve">24. </w:t>
        <w:tab/>
        <w:t>The Paris Agreement optimistically ignored the overshoot risk which has now become a near-certain reality. Accordingly there has been very little high-level discussion of the matter, though this will now change. One rare initiative has been taken by Pascal Lamy and Florence Tubiana, who set up a non-governmental but high-level Climate Overshoot Commission in 2022 to kickstart debate</w:t>
      </w:r>
      <w:r>
        <w:rPr>
          <w:rStyle w:val="FootnoteReference"/>
        </w:rPr>
        <w:footnoteReference w:id="19"/>
      </w:r>
      <w:r>
        <w:rPr/>
        <w:t>, with a first report in September 2023.  The Committee of Ministers and/or the Parliamentary Assembly could invite M. Lamy to present the Commission's views, in a public or private forum. He is famously abrasive and plain-speaking and the meeting is unlikely to be soporific.  My own views will carry infinitely less weight, and I offer them here merely as a warm-up.</w:t>
      </w:r>
    </w:p>
    <w:p>
      <w:pPr>
        <w:pStyle w:val="BodyText"/>
        <w:bidi w:val="0"/>
        <w:spacing w:before="0" w:after="170"/>
        <w:jc w:val="start"/>
        <w:rPr/>
      </w:pPr>
      <w:r>
        <w:rPr/>
        <w:t>25.</w:t>
        <w:tab/>
        <w:t>A political decision on a major operational programme this question is premature, possibly for a decade, as the knowledge base does not yet exist. The posited action should be treated like the dossier on any other major investment project, purposefully worked up towards a final go or no-go decision and, if it’s a go, a transition to execution.</w:t>
      </w:r>
    </w:p>
    <w:p>
      <w:pPr>
        <w:pStyle w:val="BodyText"/>
        <w:bidi w:val="0"/>
        <w:spacing w:before="0" w:after="170"/>
        <w:jc w:val="start"/>
        <w:rPr/>
      </w:pPr>
      <w:r>
        <w:rPr/>
        <w:t>26.</w:t>
        <w:tab/>
        <w:t>The preparation stage will certainly involve significant resources. The first objective is establishing whether carbon removal is technically feasible at the appropriate multi-gigatonne scale, and its approximate cost. This requires a major expansion of current research efforts, including comprehensive impact assessments and field trials at medium scale. This work should start as soon as possible. A useful survey of current work on CDR is published annually by the Smith Institute at Oxford</w:t>
      </w:r>
      <w:r>
        <w:rPr>
          <w:rStyle w:val="FootnoteReference"/>
        </w:rPr>
        <w:footnoteReference w:id="20"/>
      </w:r>
      <w:r>
        <w:rPr/>
        <w:t>.</w:t>
      </w:r>
    </w:p>
    <w:p>
      <w:pPr>
        <w:pStyle w:val="BodyText"/>
        <w:bidi w:val="0"/>
        <w:spacing w:before="0" w:after="170"/>
        <w:jc w:val="start"/>
        <w:rPr/>
      </w:pPr>
      <w:r>
        <w:rPr/>
        <w:t>27.</w:t>
        <w:tab/>
        <w:t>At the present exploratory stage, it is not useful to obsess about costs: those small-scale pilots offer little guidance on the price of full-scale deployments years or decades ahead. Picking winners is similarly premature</w:t>
      </w:r>
      <w:r>
        <w:rPr>
          <w:rStyle w:val="FootnoteReference"/>
        </w:rPr>
        <w:footnoteReference w:id="21"/>
      </w:r>
      <w:r>
        <w:rPr/>
        <w:t xml:space="preserve">. To anticipate one common objection to “diversion of effort”, the pilots and trials will of necessity be much more expensive per tonne of CO2 sequestered than the parallel cost per tonne of emissions avoided </w:t>
      </w:r>
      <w:r>
        <w:rPr/>
        <w:commentReference w:id="12"/>
      </w:r>
      <w:r>
        <w:rPr/>
        <w:t>in current mitigation programmes using mature technologies at full scale. The cost of a generously funded R &amp; D programme, a few billions, will still be an imperceptibly tiny percentage of global investment in renewables and other mitigation technology. This is currently running at $1.8 trn a year</w:t>
      </w:r>
      <w:r>
        <w:rPr>
          <w:rStyle w:val="FootnoteReference"/>
        </w:rPr>
        <w:footnoteReference w:id="22"/>
      </w:r>
      <w:r>
        <w:rPr/>
        <w:t xml:space="preserve">. </w:t>
      </w:r>
    </w:p>
    <w:p>
      <w:pPr>
        <w:pStyle w:val="BodyText"/>
        <w:bidi w:val="0"/>
        <w:spacing w:before="0" w:after="170"/>
        <w:jc w:val="start"/>
        <w:rPr/>
      </w:pPr>
      <w:r>
        <w:rPr/>
        <w:t>28.</w:t>
        <w:tab/>
        <w:t xml:space="preserve">Later, but not too much later, the governance and funding of a full-scale programme will have to be negotiated. Far more than the transition to sustainable energy, carbon removal is a nearly pure public good and will offer few natural opportunities for private profit. These can of course be created by governments, for instance by maintaining a negative carbon price after net zero is reached. The harder problem is equitable burden-sharing between nations, ability to pay and access to the needed natural resources conflicting with the variable historic responsibility for carbon emissions. Or just sidestep the problem. The parts of the Paris Agreement that relied on consensus top-down planning have not worked well, while those that bravely bet on St. Augustine’s </w:t>
      </w:r>
      <w:r>
        <w:rPr>
          <w:i/>
          <w:iCs/>
        </w:rPr>
        <w:t>ama et fac quod vis</w:t>
      </w:r>
      <w:r>
        <w:rPr>
          <w:rStyle w:val="FootnoteReference"/>
          <w:i/>
          <w:iCs/>
        </w:rPr>
        <w:footnoteReference w:id="23"/>
      </w:r>
      <w:r>
        <w:rPr/>
        <w:t xml:space="preserve"> have beaten all expectations.</w:t>
      </w:r>
    </w:p>
    <w:p>
      <w:pPr>
        <w:pStyle w:val="BodyText"/>
        <w:bidi w:val="0"/>
        <w:spacing w:before="0" w:after="170"/>
        <w:jc w:val="start"/>
        <w:rPr/>
      </w:pPr>
      <w:r>
        <w:rPr/>
        <w:t>29.</w:t>
        <w:tab/>
        <w:t>A third essential feature of the adopted Plan is a target or targets. The obvious initial one will be Article 2’s +1.5 degrees, missed on the way up but still legally binding on the way down. But why stop there? There will be no technical reason to halt. Maintaining a large existing physical and policy infrastructure and social consensus will be much cheaper and easier than building it in the first place. Prudence suggests putting off the setting of the ultimate target until the interim one is close.</w:t>
      </w:r>
    </w:p>
    <w:p>
      <w:pPr>
        <w:pStyle w:val="BodyText"/>
        <w:bidi w:val="0"/>
        <w:spacing w:before="0" w:after="170"/>
        <w:jc w:val="start"/>
        <w:rPr/>
      </w:pPr>
      <w:r>
        <w:rPr/>
        <w:t>30.</w:t>
        <w:tab/>
        <w:t>The case for choosing early is the human need for hope. +1.5 degrees, +2 degrees, net zero by 2050, are all exercises in damage limitation. Achieving net zero will be a great victory, marking the end of the suicidal three-century experiment of unsustainable energy dependence on fossil fuels</w:t>
      </w:r>
      <w:r>
        <w:rPr>
          <w:rStyle w:val="FootnoteReference"/>
        </w:rPr>
        <w:footnoteReference w:id="24"/>
      </w:r>
      <w:r>
        <w:rPr/>
        <w:t xml:space="preserve">. Whenever it comes, the </w:t>
      </w:r>
      <w:r>
        <w:rPr/>
        <w:commentReference w:id="13"/>
      </w:r>
      <w:r>
        <w:rPr/>
        <w:t xml:space="preserve">victory will be tepidly celebrated under the burning skies of one of the very hottest years in human history. It will taste of ashes. Only an ambitious goal - +1 degree, 400 ppm, 300 ppm – offers the prospect to humanity of actually </w:t>
      </w:r>
      <w:r>
        <w:rPr>
          <w:b/>
          <w:bCs/>
          <w:i w:val="false"/>
          <w:iCs w:val="false"/>
        </w:rPr>
        <w:t>s</w:t>
      </w:r>
      <w:r>
        <w:rPr>
          <w:b/>
          <w:bCs/>
          <w:i/>
          <w:iCs/>
        </w:rPr>
        <w:t>olving the problem.`</w:t>
      </w:r>
    </w:p>
    <w:p>
      <w:pPr>
        <w:pStyle w:val="BodyText"/>
        <w:bidi w:val="0"/>
        <w:spacing w:before="0" w:after="170"/>
        <w:jc w:val="start"/>
        <w:rPr>
          <w:rFonts w:ascii="Liberation Serif" w:hAnsi="Liberation Serif"/>
          <w:b/>
          <w:bCs/>
          <w:i/>
          <w:i/>
          <w:iCs/>
        </w:rPr>
      </w:pPr>
      <w:r>
        <w:rPr>
          <w:b/>
          <w:bCs/>
          <w:i/>
          <w:iCs/>
        </w:rPr>
      </w:r>
    </w:p>
    <w:p>
      <w:pPr>
        <w:pStyle w:val="BodyText"/>
        <w:bidi w:val="0"/>
        <w:spacing w:before="0" w:after="170"/>
        <w:jc w:val="start"/>
        <w:rPr>
          <w:rFonts w:ascii="Liberation Serif" w:hAnsi="Liberation Serif"/>
          <w:b/>
          <w:bCs/>
          <w:i/>
          <w:i/>
          <w:iCs/>
        </w:rPr>
      </w:pPr>
      <w:r>
        <w:rPr>
          <w:b/>
          <w:bCs/>
          <w:i/>
          <w:iCs/>
        </w:rPr>
        <w:t>Health and fossil fuels</w:t>
      </w:r>
    </w:p>
    <w:p>
      <w:pPr>
        <w:pStyle w:val="BodyText"/>
        <w:bidi w:val="0"/>
        <w:spacing w:before="0" w:after="170"/>
        <w:jc w:val="start"/>
        <w:rPr/>
      </w:pPr>
      <w:r>
        <w:rPr>
          <w:b w:val="false"/>
          <w:bCs w:val="false"/>
          <w:i w:val="false"/>
          <w:iCs w:val="false"/>
        </w:rPr>
        <w:t>31.</w:t>
        <w:tab/>
        <w:t xml:space="preserve">The application by the </w:t>
      </w:r>
      <w:r>
        <w:rPr>
          <w:b w:val="false"/>
          <w:bCs w:val="false"/>
          <w:i/>
          <w:iCs/>
        </w:rPr>
        <w:t>Seniorinnen</w:t>
      </w:r>
      <w:r>
        <w:rPr>
          <w:b w:val="false"/>
          <w:bCs w:val="false"/>
          <w:i w:val="false"/>
          <w:iCs w:val="false"/>
        </w:rPr>
        <w:t xml:space="preserve"> depended crucially on the allegation of damage to their </w:t>
      </w:r>
      <w:r>
        <w:rPr>
          <w:b/>
          <w:bCs/>
          <w:i/>
          <w:iCs/>
        </w:rPr>
        <w:t>health</w:t>
      </w:r>
      <w:r>
        <w:rPr>
          <w:b w:val="false"/>
          <w:bCs w:val="false"/>
          <w:i w:val="false"/>
          <w:iCs w:val="false"/>
        </w:rPr>
        <w:t xml:space="preserve"> from severe heatwaves caused or intensified by global warming. Although in the end the Court ruled against the four individual applicants, it scrupulously recorded their medical details, which reinforce the human dimension of the successful collective claim. The Court noted, but failed to draw the obvious inferences from, these striking facts:</w:t>
      </w:r>
    </w:p>
    <w:p>
      <w:pPr>
        <w:pStyle w:val="BodyText"/>
        <w:numPr>
          <w:ilvl w:val="0"/>
          <w:numId w:val="3"/>
        </w:numPr>
        <w:bidi w:val="0"/>
        <w:spacing w:before="0" w:after="170"/>
        <w:jc w:val="start"/>
        <w:rPr/>
      </w:pPr>
      <w:r>
        <w:rPr>
          <w:b w:val="false"/>
          <w:bCs w:val="false"/>
          <w:i w:val="false"/>
          <w:iCs w:val="false"/>
        </w:rPr>
        <w:t>Ms Schaub, the second applicant, “</w:t>
      </w:r>
      <w:r>
        <w:rPr/>
        <w:t>wore a pacemaker” (§14),</w:t>
      </w:r>
    </w:p>
    <w:p>
      <w:pPr>
        <w:pStyle w:val="BodyText"/>
        <w:numPr>
          <w:ilvl w:val="0"/>
          <w:numId w:val="4"/>
        </w:numPr>
        <w:bidi w:val="0"/>
        <w:spacing w:before="0" w:after="170"/>
        <w:jc w:val="start"/>
        <w:rPr/>
      </w:pPr>
      <w:r>
        <w:rPr/>
        <w:t>Ms Volkoff Peschon, the third applicant, claimed that “owing to the pollution, she had experienced breathing difficulties”, and supplied medical certificates that she “suffered from cardiovascular health issues”(§16) and “during heatwaves […] had been unable to continue with her usual therapy” (§17),</w:t>
      </w:r>
    </w:p>
    <w:p>
      <w:pPr>
        <w:pStyle w:val="BodyText"/>
        <w:numPr>
          <w:ilvl w:val="0"/>
          <w:numId w:val="4"/>
        </w:numPr>
        <w:bidi w:val="0"/>
        <w:jc w:val="start"/>
        <w:rPr/>
      </w:pPr>
      <w:r>
        <w:rPr/>
        <w:t>Ms Molinari, the fourth applicant, claimed that “excessive heat exacerbated her asthma and chronic obstructive pulmonary disease” (§18), a medical certificate adding that she “felt isolated” (§19),</w:t>
      </w:r>
    </w:p>
    <w:p>
      <w:pPr>
        <w:pStyle w:val="BodyText"/>
        <w:numPr>
          <w:ilvl w:val="0"/>
          <w:numId w:val="4"/>
        </w:numPr>
        <w:bidi w:val="0"/>
        <w:spacing w:before="0" w:after="170"/>
        <w:jc w:val="start"/>
        <w:rPr/>
      </w:pPr>
      <w:r>
        <w:rPr/>
        <w:t xml:space="preserve">Ms Budry, the fifth applicant, provided a medical certificate that “she suffered from asthma”. </w:t>
      </w:r>
    </w:p>
    <w:p>
      <w:pPr>
        <w:pStyle w:val="BodyText"/>
        <w:bidi w:val="0"/>
        <w:spacing w:before="0" w:after="170"/>
        <w:jc w:val="start"/>
        <w:rPr/>
      </w:pPr>
      <w:r>
        <w:rPr/>
        <w:t>32.</w:t>
        <w:tab/>
        <w:t xml:space="preserve">Four out of four suffered from respiratory or cardiovascular conditions, and nobody thought to connect the dots. The </w:t>
      </w:r>
      <w:r>
        <w:rPr>
          <w:i/>
          <w:iCs/>
        </w:rPr>
        <w:t>Seniorinnen</w:t>
      </w:r>
      <w:r>
        <w:rPr/>
        <w:t xml:space="preserve"> brought a case based on climate change not air pollution, and you cannot blame the Court for a judgement on the actual application filed and not a hypothetical one that wasn’t. Still, the fact that air pollution from the burning of fossil fuels is bad for health is common knowledge and has repeatedly been reasserted in categorical terms by medical scientists and competent international agencies.</w:t>
      </w:r>
    </w:p>
    <w:p>
      <w:pPr>
        <w:pStyle w:val="BodyText"/>
        <w:bidi w:val="0"/>
        <w:spacing w:before="0" w:after="170"/>
        <w:jc w:val="start"/>
        <w:rPr/>
      </w:pPr>
      <w:r>
        <w:rPr/>
        <w:t>33.</w:t>
        <w:tab/>
        <w:t xml:space="preserve"> Here for instance is a webpage of the European Environment Agency: “Air pollution is the single largest environmental health risk in Europe and a major cause of premature death and disease. […] Both short- and long-term exposure to air pollution can lead to a wide range of diseases, including stroke, chronic obstructive pulmonary disease, trachea, bronchus and lung cancers, aggravated asthma and lower respiratory infections. The World Health Organization (WHO) provides evidence of links between exposure to air pollution and type 2 diabetes, obesity, systemic inflammation, Alzheimer’s disease and dementia. The International Agency for Research on Cancer has classified air pollution, in particular PM2.5, as a leading cause of cancer. A recent global review found that chronic exposure can affect every organ in the body, complicating and exacerbating existing health conditions. Children and adolescents are particularly vulnerable </w:t>
      </w:r>
      <w:r>
        <w:rPr>
          <w:rStyle w:val="FootnoteReference"/>
        </w:rPr>
        <w:footnoteReference w:id="25"/>
      </w:r>
      <w:r>
        <w:rPr/>
        <w:t xml:space="preserve"> […]</w:t>
      </w:r>
    </w:p>
    <w:p>
      <w:pPr>
        <w:pStyle w:val="BodyText"/>
        <w:bidi w:val="0"/>
        <w:spacing w:before="0" w:after="170"/>
        <w:jc w:val="start"/>
        <w:rPr/>
      </w:pPr>
      <w:r>
        <w:rPr/>
        <w:t>34.</w:t>
        <w:tab/>
        <w:t xml:space="preserve">The scale of the damage is immense. The latest estimate from the WHO is that “Ambient (outdoor) air pollution is estimated to have caused </w:t>
      </w:r>
      <w:r>
        <w:rPr>
          <w:b/>
          <w:bCs/>
        </w:rPr>
        <w:t>4.2 million premature deaths</w:t>
      </w:r>
      <w:r>
        <w:rPr/>
        <w:t xml:space="preserve"> worldwide in 2019.” A study estimated premature deaths in Switzerland in 2019 from PM2.5 pollution alone as 2,240</w:t>
      </w:r>
      <w:r>
        <w:rPr>
          <w:rStyle w:val="FootnoteReference"/>
        </w:rPr>
        <w:footnoteReference w:id="26"/>
      </w:r>
      <w:r>
        <w:rPr/>
        <w:t xml:space="preserve"> - compare an estimated 622 excess deaths from the heatwaves in the summer of 2022.</w:t>
      </w:r>
      <w:r>
        <w:rPr>
          <w:rStyle w:val="FootnoteReference"/>
        </w:rPr>
        <w:footnoteReference w:id="27"/>
      </w:r>
      <w:r>
        <w:rPr/>
        <w:t xml:space="preserve"> The controversial VSL (“value of statistical life”) approach estimates the economic cost of a lost human life using observed trade-offs between wages and risks. At a global average VSL of $1.3m, the annual economic burden of deaths from ambient air pollution is $5.6 trn, about 5% of world GDP. At a country VSL of $9.4m, it is $21 bn in Switzerland, 2.6% of GDP. </w:t>
      </w:r>
      <w:r>
        <w:rPr>
          <w:rStyle w:val="FootnoteReference"/>
        </w:rPr>
        <w:footnoteReference w:id="28"/>
      </w:r>
      <w:r>
        <w:rPr/>
        <w:t xml:space="preserve"> However we evaluate the burden of deaths, it is not controversial that we need to add in the burden of the associated illnesses, fatal or not: diagnosis, treatment, lost earnings of the sufferer and their carers, forgone opportunities of all kinds, anxiety and pain</w:t>
      </w:r>
      <w:r>
        <w:rPr>
          <w:rStyle w:val="FootnoteReference"/>
        </w:rPr>
        <w:footnoteReference w:id="29"/>
      </w:r>
      <w:r>
        <w:rPr/>
        <w:t>.</w:t>
      </w:r>
    </w:p>
    <w:p>
      <w:pPr>
        <w:pStyle w:val="BodyText"/>
        <w:bidi w:val="0"/>
        <w:spacing w:before="0" w:after="170"/>
        <w:jc w:val="start"/>
        <w:rPr/>
      </w:pPr>
      <w:r>
        <w:rPr/>
        <w:t>35.</w:t>
        <w:tab/>
        <w:t xml:space="preserve">Climate change from GHGs and health damage from air pollution are generated by entirely different mechanisms to achieve markedly different portfolios of harms.  Greenhouse gases decay slowly in the atmosphere, or absorbed by oceans. The climate temperature is determined by </w:t>
      </w:r>
      <w:r>
        <w:rPr>
          <w:i/>
          <w:iCs/>
        </w:rPr>
        <w:t>cumulative</w:t>
      </w:r>
      <w:r>
        <w:rPr/>
        <w:t xml:space="preserve"> GHG emissions, not current ones. Continued emissions, far above the natural rate of absorption by carbon sinks, </w:t>
      </w:r>
      <w:r>
        <w:rPr>
          <w:lang w:val="en-US"/>
        </w:rPr>
        <w:t>imply continued</w:t>
      </w:r>
      <w:r>
        <w:rPr/>
        <w:t xml:space="preserve"> warming, and therefore a high risk of utter disaster. Ambient air pollution is relatively short-lived, so damage depends mainly on recent emissions. They cause misery without endangering civilisation. Cut emissions, and damage quickly falls. The Great Smog in London in 1952 is now a distant memory, though remedial legislation was only passed in 1956. Disappointingly, world sales of gasoline have not yet peaked, though have in Switzerland they did so in 1992</w:t>
      </w:r>
      <w:r>
        <w:rPr>
          <w:rStyle w:val="FootnoteReference"/>
        </w:rPr>
        <w:footnoteReference w:id="30"/>
      </w:r>
      <w:r>
        <w:rPr/>
        <w:t>.</w:t>
      </w:r>
    </w:p>
    <w:p>
      <w:pPr>
        <w:pStyle w:val="BodyText"/>
        <w:bidi w:val="0"/>
        <w:spacing w:before="0" w:after="170"/>
        <w:jc w:val="start"/>
        <w:rPr/>
      </w:pPr>
      <w:r>
        <w:rPr/>
        <w:t>36.</w:t>
        <w:tab/>
        <w:t>Globally, both streams include significant harms that do not overlap. Indoor air pollution from wood, charcoal and kerosene cooking fires and stoves is estimated to cause 3.2 million deaths per year, almost entirely in rural areas of developing countries</w:t>
      </w:r>
      <w:r>
        <w:rPr>
          <w:rStyle w:val="FootnoteReference"/>
        </w:rPr>
        <w:footnoteReference w:id="31"/>
      </w:r>
      <w:r>
        <w:rPr/>
        <w:t>. The wood is largely harvested sustainably, so there is little GHG impact. Conversely, deforestation and methane leaks boost GHG emissions, but create little air pollution. For Europe, none of these side-streams is significant. The populations directly affected by global warming and by air pollution are pretty much identical, though the latter affects urban dwellers much more than rural ones.</w:t>
      </w:r>
      <w:r>
        <w:rPr/>
        <w:commentReference w:id="14"/>
      </w:r>
    </w:p>
    <w:p>
      <w:pPr>
        <w:pStyle w:val="BodyText"/>
        <w:bidi w:val="0"/>
        <w:spacing w:lineRule="auto" w:line="276" w:before="0" w:after="140"/>
        <w:jc w:val="start"/>
        <w:rPr/>
      </w:pPr>
      <w:r>
        <w:rPr/>
        <w:t>37.</w:t>
        <w:tab/>
        <w:t xml:space="preserve">This strong parallelism of structure and similarity of scale suggests that global warming and air pollution should tbe reated similarly for the application of Article 6 of the ECHR. It is a material difference here that international cooperation and standard-setting on public health relies essentially on he professional ethos of the relevant scientific community, and very little on explicit legal standards and commitments. </w:t>
      </w:r>
      <w:r>
        <w:rPr>
          <w:i/>
          <w:iCs/>
        </w:rPr>
        <w:t xml:space="preserve">Pacta sunt servanda </w:t>
      </w:r>
      <w:r>
        <w:rPr>
          <w:i w:val="false"/>
          <w:iCs w:val="false"/>
        </w:rPr>
        <w:t xml:space="preserve">has little grip on air pollution. On the other hand, the science is typically much less complex and ambiguous </w:t>
      </w:r>
      <w:r>
        <w:rPr/>
        <w:t>than</w:t>
      </w:r>
      <w:r>
        <w:rPr>
          <w:i w:val="false"/>
          <w:iCs w:val="false"/>
        </w:rPr>
        <w:t xml:space="preserve"> in climatology. Nobody really questions the proposition that if people breathe in muck they get sick</w:t>
      </w:r>
      <w:r>
        <w:rPr>
          <w:rStyle w:val="FootnoteReference"/>
          <w:i w:val="false"/>
          <w:iCs w:val="false"/>
        </w:rPr>
        <w:footnoteReference w:id="32"/>
      </w:r>
      <w:r>
        <w:rPr>
          <w:i w:val="false"/>
          <w:iCs w:val="false"/>
        </w:rPr>
        <w:t>.</w:t>
      </w:r>
    </w:p>
    <w:p>
      <w:pPr>
        <w:pStyle w:val="BodyText"/>
        <w:bidi w:val="0"/>
        <w:spacing w:before="0" w:after="170"/>
        <w:jc w:val="start"/>
        <w:rPr/>
      </w:pPr>
      <w:r>
        <w:rPr/>
        <w:t>38.</w:t>
        <w:tab/>
        <w:t xml:space="preserve">Air pollution and GHG gases work together to attack human health. Recall the medical histories bravely made public by the four individual </w:t>
      </w:r>
      <w:r>
        <w:rPr>
          <w:i/>
          <w:iCs/>
        </w:rPr>
        <w:t>Seniorinnen</w:t>
      </w:r>
      <w:r>
        <w:rPr/>
        <w:t xml:space="preserve">. First they developed respiratory and cardiovascular problems over the years, created or aggravated by fossil-fueled air pollution. These </w:t>
      </w:r>
      <w:r>
        <w:rPr>
          <w:lang w:val="en-US"/>
        </w:rPr>
        <w:t xml:space="preserve">then </w:t>
      </w:r>
      <w:r>
        <w:rPr/>
        <w:t>made them vulnerable to heatwaves in recent years, created or aggravated by fossil-fuel GHG emissions. The two harms sprang from a common fount, split into two streams to work their way through the environment, then reunited in the vulnerable bodies of the elderly applicants.</w:t>
      </w:r>
    </w:p>
    <w:p>
      <w:pPr>
        <w:pStyle w:val="BodyText"/>
        <w:bidi w:val="0"/>
        <w:spacing w:before="0" w:after="170"/>
        <w:jc w:val="start"/>
        <w:rPr/>
      </w:pPr>
      <w:r>
        <w:rPr/>
        <w:t>39.</w:t>
        <w:tab/>
        <w:t>I have refrained in this paper  from the angry language that would be fully justified by the current failure of governments around the world to respond in an adult way to the global environmental crisis. Others can do this better, for instance Albrecht Dürer. In 1498, exploiting the new mass market opened up by Gutenberg, he published a striking series of woodcut prints depicting scenes from the Book of Revelations. The most famous shows the Four Horsemen of the Apocalypse in a terrifying joint charge against humanity. In Revelations, the four horsemen are Conquest, War, Famine, and Death. We could update this with a slightly different quartet</w:t>
      </w:r>
      <w:r>
        <w:rPr>
          <w:lang w:val="en-US"/>
        </w:rPr>
        <w:t>,</w:t>
      </w:r>
      <w:r>
        <w:rPr/>
        <w:t xml:space="preserve"> Heat, Deluge, Disease and Chaos. They </w:t>
      </w:r>
      <w:r>
        <w:rPr>
          <w:lang w:val="en-US"/>
        </w:rPr>
        <w:t>still</w:t>
      </w:r>
      <w:r>
        <w:rPr/>
        <w:t xml:space="preserve">, as we have seen, work together quite nicely, as their victims on the whole do not: with admirable exceptions like the </w:t>
      </w:r>
      <w:r>
        <w:rPr>
          <w:i/>
          <w:iCs/>
        </w:rPr>
        <w:t>Seniorinnen</w:t>
      </w:r>
      <w:r>
        <w:rPr/>
        <w:t>.</w:t>
      </w:r>
    </w:p>
    <w:p>
      <w:pPr>
        <w:pStyle w:val="BodyText"/>
        <w:bidi w:val="0"/>
        <w:spacing w:lineRule="auto" w:line="276" w:before="0" w:after="170"/>
        <w:jc w:val="start"/>
        <w:rPr>
          <w:b/>
          <w:bCs/>
          <w:i/>
          <w:i/>
          <w:iCs/>
          <w:lang w:val="en-US"/>
        </w:rPr>
      </w:pPr>
      <w:r>
        <w:rPr>
          <w:b/>
          <w:bCs/>
          <w:i/>
          <w:iCs/>
          <w:lang w:val="en-US"/>
        </w:rPr>
      </w:r>
    </w:p>
    <w:p>
      <w:pPr>
        <w:pStyle w:val="BodyText"/>
        <w:bidi w:val="0"/>
        <w:spacing w:lineRule="auto" w:line="276" w:before="0" w:after="170"/>
        <w:jc w:val="start"/>
        <w:rPr>
          <w:b/>
          <w:bCs/>
          <w:i/>
          <w:i/>
          <w:iCs/>
          <w:lang w:val="en-US"/>
        </w:rPr>
      </w:pPr>
      <w:r>
        <w:rPr>
          <w:b/>
          <w:bCs/>
          <w:i/>
          <w:iCs/>
          <w:lang w:val="en-US"/>
        </w:rPr>
      </w:r>
    </w:p>
    <w:p>
      <w:pPr>
        <w:pStyle w:val="BodyText"/>
        <w:bidi w:val="0"/>
        <w:spacing w:lineRule="auto" w:line="276" w:before="0" w:after="170"/>
        <w:jc w:val="start"/>
        <w:rPr/>
      </w:pPr>
      <w:r>
        <w:rPr>
          <w:b/>
          <w:bCs/>
          <w:i/>
          <w:iCs/>
          <w:lang w:val="en-US"/>
        </w:rPr>
        <w:t>Conclusion</w:t>
      </w:r>
    </w:p>
    <w:p>
      <w:pPr>
        <w:pStyle w:val="BodyText"/>
        <w:bidi w:val="0"/>
        <w:spacing w:lineRule="auto" w:line="276" w:before="0" w:after="170"/>
        <w:jc w:val="start"/>
        <w:rPr/>
      </w:pPr>
      <w:r>
        <w:rPr>
          <w:b w:val="false"/>
          <w:bCs w:val="false"/>
          <w:i w:val="false"/>
          <w:iCs w:val="false"/>
          <w:lang w:val="en-US"/>
        </w:rPr>
        <w:t>40.</w:t>
        <w:tab/>
        <w:t xml:space="preserve">The Court and the political organs of the Council of Europe ought not to content themselves with giving air pollution a seat at the Article 8 table. They should recognize that the framing of the </w:t>
      </w:r>
      <w:r>
        <w:rPr>
          <w:b w:val="false"/>
          <w:bCs w:val="false"/>
          <w:i/>
          <w:iCs/>
          <w:lang w:val="en-US"/>
        </w:rPr>
        <w:t>Seniorinnen</w:t>
      </w:r>
      <w:r>
        <w:rPr>
          <w:b w:val="false"/>
          <w:bCs w:val="false"/>
          <w:i w:val="false"/>
          <w:iCs w:val="false"/>
          <w:lang w:val="en-US"/>
        </w:rPr>
        <w:t xml:space="preserve"> application as purely a </w:t>
      </w:r>
      <w:r>
        <w:rPr>
          <w:b w:val="false"/>
          <w:bCs w:val="false"/>
          <w:i/>
          <w:iCs/>
          <w:lang w:val="en-US"/>
        </w:rPr>
        <w:t>climate</w:t>
      </w:r>
      <w:r>
        <w:rPr>
          <w:b w:val="false"/>
          <w:bCs w:val="false"/>
          <w:i w:val="false"/>
          <w:iCs w:val="false"/>
          <w:lang w:val="en-US"/>
        </w:rPr>
        <w:t xml:space="preserve"> </w:t>
      </w:r>
      <w:r>
        <w:rPr>
          <w:b w:val="false"/>
          <w:bCs w:val="false"/>
          <w:i/>
          <w:iCs/>
          <w:lang w:val="en-US"/>
        </w:rPr>
        <w:t xml:space="preserve">change </w:t>
      </w:r>
      <w:r>
        <w:rPr>
          <w:b w:val="false"/>
          <w:bCs w:val="false"/>
          <w:i w:val="false"/>
          <w:iCs w:val="false"/>
          <w:lang w:val="en-US"/>
        </w:rPr>
        <w:t xml:space="preserve">problem was inadequate. The truth of the matter is that climate change and air pollution are fruits of the same poisoned tree: </w:t>
      </w:r>
      <w:r>
        <w:rPr>
          <w:b/>
          <w:bCs/>
          <w:i/>
          <w:iCs/>
          <w:lang w:val="en-US"/>
        </w:rPr>
        <w:t xml:space="preserve">the burning of fossil fuels. </w:t>
      </w:r>
      <w:r>
        <w:rPr>
          <w:b w:val="false"/>
          <w:bCs w:val="false"/>
          <w:i w:val="false"/>
          <w:iCs w:val="false"/>
          <w:lang w:val="en-US"/>
        </w:rPr>
        <w:t>As long as this continues at scale, the climate will get ever hotter and more dangerous, and millions will continue to die from air pollution. As soon as the burning of coal, oil and gas stops, so will its poisoned fruits. (As explored above, that will leave a large and asymmetric problem of the removal of excess CO2 and the restoration of a liveable climate.)</w:t>
      </w:r>
    </w:p>
    <w:p>
      <w:pPr>
        <w:pStyle w:val="BodyText"/>
        <w:bidi w:val="0"/>
        <w:spacing w:lineRule="auto" w:line="276" w:before="0" w:after="170"/>
        <w:jc w:val="start"/>
        <w:rPr/>
      </w:pPr>
      <w:r>
        <w:rPr>
          <w:b w:val="false"/>
          <w:bCs w:val="false"/>
          <w:i w:val="false"/>
          <w:iCs w:val="false"/>
          <w:lang w:val="en-US"/>
        </w:rPr>
        <w:t>38.</w:t>
        <w:tab/>
        <w:t>Why does the burning continue, ineffective COP after ineffaective COP, report after report, treaty after treaty? CO2 and PM2.5 have no friends and no constituency by themselves. They flourish because fossil fuels are cheap, popular and deeply rooted in the economy. society and culture, while their producers are entrenched bunker-deep in political life and the media. The first rule in peace as in war is to know and name your enemy.</w:t>
      </w:r>
    </w:p>
    <w:p>
      <w:pPr>
        <w:pStyle w:val="BodyText"/>
        <w:bidi w:val="0"/>
        <w:spacing w:lineRule="auto" w:line="276" w:before="0" w:after="170"/>
        <w:jc w:val="center"/>
        <w:rPr/>
      </w:pPr>
      <w:r>
        <w:rPr>
          <w:b w:val="false"/>
          <w:bCs w:val="false"/>
          <w:i w:val="false"/>
          <w:iCs w:val="false"/>
          <w:lang w:val="en-US"/>
        </w:rPr>
        <w:t>*</w:t>
        <w:tab/>
        <w:t>*</w:t>
        <w:tab/>
        <w:t>*</w:t>
        <w:tab/>
        <w:t>*</w:t>
        <w:tab/>
        <w:t>*</w:t>
        <w:tab/>
        <w:t>*</w:t>
        <w:tab/>
        <w:t>*</w:t>
        <w:tab/>
        <w:t>*</w:t>
        <w:tab/>
        <w:t>*</w:t>
        <w:tab/>
        <w:t>*</w:t>
      </w:r>
    </w:p>
    <w:p>
      <w:pPr>
        <w:pStyle w:val="BodyText"/>
        <w:bidi w:val="0"/>
        <w:spacing w:lineRule="auto" w:line="276" w:before="0" w:after="170"/>
        <w:jc w:val="center"/>
        <w:rPr>
          <w:b w:val="false"/>
          <w:bCs w:val="false"/>
          <w:i/>
          <w:i/>
          <w:iCs/>
          <w:lang w:val="en-US"/>
        </w:rPr>
      </w:pPr>
      <w:r>
        <w:rPr>
          <w:b w:val="false"/>
          <w:bCs w:val="false"/>
          <w:i/>
          <w:iCs/>
          <w:lang w:val="en-US"/>
        </w:rPr>
      </w:r>
    </w:p>
    <w:p>
      <w:pPr>
        <w:pStyle w:val="BodyText"/>
        <w:bidi w:val="0"/>
        <w:spacing w:lineRule="auto" w:line="276" w:before="0" w:after="170"/>
        <w:jc w:val="start"/>
        <w:rPr>
          <w:b w:val="false"/>
          <w:bCs w:val="false"/>
          <w:i/>
          <w:i/>
          <w:iCs/>
          <w:lang w:val="en-US"/>
        </w:rPr>
      </w:pPr>
      <w:r>
        <w:rPr>
          <w:b w:val="false"/>
          <w:bCs w:val="false"/>
          <w:i/>
          <w:iCs/>
          <w:lang w:val="en-US"/>
        </w:rPr>
      </w:r>
    </w:p>
    <w:p>
      <w:pPr>
        <w:pStyle w:val="BodyText"/>
        <w:bidi w:val="0"/>
        <w:spacing w:lineRule="auto" w:line="276" w:before="0" w:after="170"/>
        <w:jc w:val="start"/>
        <w:rPr>
          <w:b w:val="false"/>
          <w:bCs w:val="false"/>
          <w:i/>
          <w:i/>
          <w:iCs/>
          <w:lang w:val="en-US"/>
        </w:rPr>
      </w:pPr>
      <w:r>
        <w:rPr>
          <w:b w:val="false"/>
          <w:bCs w:val="false"/>
          <w:i/>
          <w:iCs/>
          <w:lang w:val="en-US"/>
        </w:rPr>
      </w:r>
    </w:p>
    <w:p>
      <w:pPr>
        <w:pStyle w:val="BodyText"/>
        <w:bidi w:val="0"/>
        <w:spacing w:lineRule="auto" w:line="276" w:before="0" w:after="170"/>
        <w:jc w:val="start"/>
        <w:rPr>
          <w:rStyle w:val="Emphasis"/>
          <w:b w:val="false"/>
          <w:bCs w:val="false"/>
          <w:sz w:val="24"/>
          <w:szCs w:val="24"/>
          <w:lang w:val="en-US"/>
        </w:rPr>
      </w:pPr>
      <w:r>
        <w:rPr>
          <w:b w:val="false"/>
          <w:bCs w:val="false"/>
          <w:sz w:val="24"/>
          <w:szCs w:val="24"/>
          <w:lang w:val="en-US"/>
        </w:rPr>
      </w:r>
    </w:p>
    <w:p>
      <w:pPr>
        <w:pStyle w:val="BodyText"/>
        <w:bidi w:val="0"/>
        <w:spacing w:lineRule="auto" w:line="276" w:before="0" w:after="170"/>
        <w:jc w:val="start"/>
        <w:rPr>
          <w:rStyle w:val="Emphasis"/>
          <w:b w:val="false"/>
          <w:bCs w:val="false"/>
          <w:sz w:val="24"/>
          <w:szCs w:val="24"/>
          <w:lang w:val="en-US"/>
        </w:rPr>
      </w:pPr>
      <w:r>
        <w:rPr>
          <w:b w:val="false"/>
          <w:bCs w:val="false"/>
          <w:sz w:val="24"/>
          <w:szCs w:val="24"/>
          <w:lang w:val="en-US"/>
        </w:rPr>
      </w:r>
    </w:p>
    <w:p>
      <w:pPr>
        <w:pStyle w:val="BodyText"/>
        <w:bidi w:val="0"/>
        <w:spacing w:lineRule="auto" w:line="276" w:before="0" w:after="170"/>
        <w:jc w:val="start"/>
        <w:rPr>
          <w:rStyle w:val="Emphasis"/>
          <w:b w:val="false"/>
          <w:bCs w:val="false"/>
          <w:sz w:val="24"/>
          <w:szCs w:val="24"/>
          <w:lang w:val="en-US"/>
        </w:rPr>
      </w:pPr>
      <w:r>
        <w:rPr>
          <w:b w:val="false"/>
          <w:bCs w:val="false"/>
          <w:sz w:val="24"/>
          <w:szCs w:val="24"/>
          <w:lang w:val="en-US"/>
        </w:rPr>
      </w:r>
    </w:p>
    <w:p>
      <w:pPr>
        <w:pStyle w:val="BodyText"/>
        <w:bidi w:val="0"/>
        <w:spacing w:lineRule="auto" w:line="276" w:before="0" w:after="170"/>
        <w:jc w:val="start"/>
        <w:rPr>
          <w:rStyle w:val="Emphasis"/>
          <w:b w:val="false"/>
          <w:bCs w:val="false"/>
          <w:sz w:val="24"/>
          <w:szCs w:val="24"/>
          <w:lang w:val="en-US"/>
        </w:rPr>
      </w:pPr>
      <w:r>
        <w:rPr>
          <w:b w:val="false"/>
          <w:bCs w:val="false"/>
          <w:sz w:val="24"/>
          <w:szCs w:val="24"/>
          <w:lang w:val="en-US"/>
        </w:rPr>
      </w:r>
    </w:p>
    <w:p>
      <w:pPr>
        <w:pStyle w:val="BodyText"/>
        <w:bidi w:val="0"/>
        <w:spacing w:lineRule="auto" w:line="276" w:before="0" w:after="170"/>
        <w:jc w:val="start"/>
        <w:rPr>
          <w:rStyle w:val="Emphasis"/>
          <w:b w:val="false"/>
          <w:bCs w:val="false"/>
          <w:sz w:val="24"/>
          <w:szCs w:val="24"/>
          <w:lang w:val="en-US"/>
        </w:rPr>
      </w:pPr>
      <w:r>
        <w:rPr>
          <w:b w:val="false"/>
          <w:bCs w:val="false"/>
          <w:sz w:val="24"/>
          <w:szCs w:val="24"/>
          <w:lang w:val="en-US"/>
        </w:rPr>
      </w:r>
    </w:p>
    <w:p>
      <w:pPr>
        <w:pStyle w:val="BodyText"/>
        <w:bidi w:val="0"/>
        <w:spacing w:lineRule="auto" w:line="276" w:before="0" w:after="170"/>
        <w:jc w:val="start"/>
        <w:rPr>
          <w:rStyle w:val="Emphasis"/>
          <w:b w:val="false"/>
          <w:bCs w:val="false"/>
          <w:sz w:val="24"/>
          <w:szCs w:val="24"/>
          <w:lang w:val="en-US"/>
        </w:rPr>
      </w:pPr>
      <w:r>
        <w:rPr>
          <w:b w:val="false"/>
          <w:bCs w:val="false"/>
          <w:sz w:val="24"/>
          <w:szCs w:val="24"/>
          <w:lang w:val="en-US"/>
        </w:rPr>
      </w:r>
    </w:p>
    <w:p>
      <w:pPr>
        <w:pStyle w:val="BodyText"/>
        <w:bidi w:val="0"/>
        <w:spacing w:lineRule="auto" w:line="276" w:before="0" w:after="170"/>
        <w:jc w:val="center"/>
        <w:rPr/>
      </w:pPr>
      <w:r>
        <w:rPr>
          <w:i w:val="false"/>
          <w:iCs w:val="false"/>
        </w:rPr>
        <w:t>*</w:t>
        <w:tab/>
        <w:t>*</w:t>
        <w:tab/>
        <w:t>*</w:t>
        <w:tab/>
        <w:t>*</w:t>
        <w:tab/>
        <w:t>*</w:t>
        <w:tab/>
        <w:t>*</w:t>
        <w:tab/>
        <w:t>*</w:t>
        <w:tab/>
        <w:t>*</w:t>
        <w:tab/>
        <w:t>*</w:t>
        <w:tab/>
        <w:t>*</w:t>
      </w:r>
    </w:p>
    <w:p>
      <w:pPr>
        <w:pStyle w:val="BodyText"/>
        <w:bidi w:val="0"/>
        <w:spacing w:lineRule="auto" w:line="276" w:before="0" w:after="170"/>
        <w:jc w:val="start"/>
        <w:rPr/>
      </w:pPr>
      <w:r>
        <w:rPr>
          <w:rStyle w:val="Emphasis"/>
          <w:b w:val="false"/>
          <w:bCs w:val="false"/>
          <w:sz w:val="24"/>
          <w:szCs w:val="24"/>
          <w:lang w:val="en-US"/>
        </w:rPr>
        <w:t xml:space="preserve">© 2024. This work is openly licensed via </w:t>
      </w:r>
      <w:hyperlink r:id="rId2">
        <w:r>
          <w:rPr>
            <w:rStyle w:val="Hyperlink"/>
            <w:b w:val="false"/>
            <w:bCs w:val="false"/>
            <w:i/>
            <w:iCs/>
            <w:sz w:val="24"/>
            <w:szCs w:val="24"/>
            <w:lang w:val="en-US"/>
          </w:rPr>
          <w:t>CC BY 4.0</w:t>
        </w:r>
      </w:hyperlink>
      <w:r>
        <w:rPr>
          <w:rStyle w:val="Emphasis"/>
          <w:b w:val="false"/>
          <w:bCs w:val="false"/>
          <w:sz w:val="24"/>
          <w:szCs w:val="24"/>
          <w:lang w:val="en-US"/>
        </w:rPr>
        <w:t>.</w:t>
      </w:r>
      <w:r>
        <w:rPr>
          <w:b w:val="false"/>
          <w:bCs w:val="false"/>
          <w:i/>
          <w:iCs/>
          <w:sz w:val="24"/>
          <w:szCs w:val="24"/>
          <w:lang w:val="en-US"/>
        </w:rPr>
        <w:t xml:space="preserve"> The Dürer print is in the public domain. The memo is not confidential and is simultaneously published on my personal website as a downloadable document:  </w:t>
      </w:r>
      <w:hyperlink r:id="rId3">
        <w:r>
          <w:rPr>
            <w:rStyle w:val="Hyperlink"/>
            <w:b w:val="false"/>
            <w:bCs w:val="false"/>
            <w:i/>
            <w:iCs/>
            <w:sz w:val="24"/>
            <w:szCs w:val="24"/>
            <w:lang w:val="en-US"/>
          </w:rPr>
          <w:t>http://www.jameswimberley.es/Notes/Memo_Seniorinnen_case.docx</w:t>
        </w:r>
      </w:hyperlink>
      <w:r>
        <w:rPr>
          <w:b w:val="false"/>
          <w:bCs w:val="false"/>
          <w:i/>
          <w:iCs/>
          <w:sz w:val="24"/>
          <w:szCs w:val="24"/>
          <w:lang w:val="en-US"/>
        </w:rPr>
        <w:t xml:space="preserve"> </w:t>
      </w:r>
    </w:p>
    <w:p>
      <w:pPr>
        <w:pStyle w:val="BodyText"/>
        <w:bidi w:val="0"/>
        <w:spacing w:lineRule="auto" w:line="276" w:before="0" w:after="170"/>
        <w:jc w:val="start"/>
        <w:rPr>
          <w:b w:val="false"/>
          <w:bCs w:val="false"/>
          <w:i/>
          <w:i/>
          <w:iCs/>
          <w:lang w:val="en-US"/>
        </w:rPr>
      </w:pPr>
      <w:r>
        <w:rPr/>
      </w:r>
    </w:p>
    <w:p>
      <w:pPr>
        <w:pStyle w:val="BodyText"/>
        <w:widowControl/>
        <w:suppressAutoHyphens w:val="true"/>
        <w:overflowPunct w:val="false"/>
        <w:bidi w:val="0"/>
        <w:spacing w:lineRule="auto" w:line="276" w:before="0" w:after="170"/>
        <w:jc w:val="start"/>
        <w:rPr>
          <w:rStyle w:val="Emphasis"/>
          <w:b w:val="false"/>
          <w:bCs w:val="false"/>
          <w:sz w:val="24"/>
          <w:szCs w:val="24"/>
          <w:lang w:val="en-US"/>
        </w:rPr>
      </w:pPr>
      <w:r>
        <w:rPr/>
        <w:t>​​​​</w:t>
      </w:r>
      <w:r>
        <w:rPr/>
        <w:drawing>
          <wp:anchor behindDoc="0" distT="0" distB="0" distL="0" distR="0" simplePos="0" locked="0" layoutInCell="0" allowOverlap="1" relativeHeight="3">
            <wp:simplePos x="0" y="0"/>
            <wp:positionH relativeFrom="column">
              <wp:posOffset>-8890</wp:posOffset>
            </wp:positionH>
            <wp:positionV relativeFrom="paragraph">
              <wp:posOffset>67310</wp:posOffset>
            </wp:positionV>
            <wp:extent cx="6156325" cy="8362950"/>
            <wp:effectExtent l="0" t="0" r="0" b="0"/>
            <wp:wrapSquare wrapText="largest"/>
            <wp:docPr id="1" name="Image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Copy 1 Copy 2" descr="" title=""/>
                    <pic:cNvPicPr>
                      <a:picLocks noChangeAspect="1" noChangeArrowheads="1"/>
                    </pic:cNvPicPr>
                  </pic:nvPicPr>
                  <pic:blipFill>
                    <a:blip r:embed="rId4"/>
                    <a:stretch>
                      <a:fillRect/>
                    </a:stretch>
                  </pic:blipFill>
                  <pic:spPr bwMode="auto">
                    <a:xfrm>
                      <a:off x="0" y="0"/>
                      <a:ext cx="6156325" cy="8362950"/>
                    </a:xfrm>
                    <a:prstGeom prst="rect">
                      <a:avLst/>
                    </a:prstGeom>
                  </pic:spPr>
                </pic:pic>
              </a:graphicData>
            </a:graphic>
          </wp:anchor>
        </w:drawing>
        <w:t>​​​​​</w:t>
      </w:r>
      <w:r>
        <w:drawing>
          <wp:anchor behindDoc="0" distT="0" distB="0" distL="0" distR="0" simplePos="0" locked="0" layoutInCell="0" allowOverlap="1" relativeHeight="2">
            <wp:simplePos x="0" y="0"/>
            <wp:positionH relativeFrom="column">
              <wp:posOffset>94615</wp:posOffset>
            </wp:positionH>
            <wp:positionV relativeFrom="paragraph">
              <wp:posOffset>140970</wp:posOffset>
            </wp:positionV>
            <wp:extent cx="6120130" cy="8313420"/>
            <wp:effectExtent l="0" t="0" r="0" b="0"/>
            <wp:wrapSquare wrapText="largest"/>
            <wp:docPr id="2" name="Image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 Copy 1 Copy 1" descr="" title=""/>
                    <pic:cNvPicPr>
                      <a:picLocks noChangeAspect="1" noChangeArrowheads="1"/>
                    </pic:cNvPicPr>
                  </pic:nvPicPr>
                  <pic:blipFill>
                    <a:blip r:embed="rId5"/>
                    <a:stretch>
                      <a:fillRect/>
                    </a:stretch>
                  </pic:blipFill>
                  <pic:spPr bwMode="auto">
                    <a:xfrm>
                      <a:off x="0" y="0"/>
                      <a:ext cx="6120130" cy="8313420"/>
                    </a:xfrm>
                    <a:prstGeom prst="rect">
                      <a:avLst/>
                    </a:prstGeom>
                  </pic:spPr>
                </pic:pic>
              </a:graphicData>
            </a:graphic>
          </wp:anchor>
        </w:drawing>
      </w:r>
      <w:r>
        <w:rPr/>
        <w:t>​</w:t>
      </w:r>
    </w:p>
    <w:p>
      <w:pPr>
        <w:pStyle w:val="BodyText"/>
        <w:widowControl/>
        <w:suppressAutoHyphens w:val="true"/>
        <w:overflowPunct w:val="false"/>
        <w:bidi w:val="0"/>
        <w:spacing w:lineRule="auto" w:line="276" w:before="0" w:after="170"/>
        <w:jc w:val="start"/>
        <w:rPr>
          <w:rStyle w:val="Emphasis"/>
          <w:b w:val="false"/>
          <w:bCs w:val="false"/>
          <w:sz w:val="24"/>
          <w:szCs w:val="24"/>
          <w:lang w:val="en-US"/>
        </w:rPr>
      </w:pPr>
      <w:r>
        <w:rPr/>
      </w:r>
    </w:p>
    <w:p>
      <w:pPr>
        <w:pStyle w:val="BodyText"/>
        <w:widowControl/>
        <w:suppressAutoHyphens w:val="true"/>
        <w:overflowPunct w:val="false"/>
        <w:bidi w:val="0"/>
        <w:spacing w:lineRule="auto" w:line="276" w:before="0" w:after="170"/>
        <w:jc w:val="start"/>
        <w:rPr>
          <w:i w:val="false"/>
          <w:i w:val="false"/>
          <w:iCs w:val="false"/>
        </w:rPr>
      </w:pPr>
      <w:r>
        <w:rPr/>
      </w:r>
    </w:p>
    <w:sectPr>
      <w:headerReference w:type="default" r:id="rId6"/>
      <w:footerReference w:type="default" r:id="rId7"/>
      <w:footnotePr>
        <w:numFmt w:val="decimal"/>
      </w:footnotePr>
      <w:type w:val="nextPage"/>
      <w:pgSz w:w="11906" w:h="16838"/>
      <w:pgMar w:left="1134" w:right="1134" w:gutter="0" w:header="850" w:top="1304" w:footer="850" w:bottom="1190"/>
      <w:pgNumType w:fmt="decimal"/>
      <w:formProt w:val="false"/>
      <w:textDirection w:val="lrTb"/>
      <w:docGrid w:type="default" w:linePitch="600" w:charSpace="20480"/>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comment w:id="0" w:author="Unknown Author" w:date="2024-04-30T10:53:01Z" w:initials="">
    <w:p>
      <w:pPr>
        <w:overflowPunct w:val="true"/>
        <w:bidi w:val="0"/>
        <w:spacing w:before="0" w:after="0" w:lineRule="auto" w:line="240"/>
        <w:ind w:start="0" w:end="0" w:hanging="0"/>
        <w:jc w:val="start"/>
        <w:rPr/>
      </w:pPr>
      <w:r>
        <w:rPr>
          <w:rFonts w:ascii="Liberation Serif" w:hAnsi="Liberation Serif" w:eastAsia="NSimSun" w:cs="Arial"/>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 w:val="20"/>
          <w:szCs w:val="24"/>
          <w:u w:val="none"/>
          <w:shd w:fill="auto" w:val="clear"/>
          <w:vertAlign w:val="baseline"/>
          <w:em w:val="none"/>
          <w:lang w:val="en-GB" w:eastAsia="zh-CN" w:bidi="hi-IN"/>
        </w:rPr>
        <w:t xml:space="preserve"> Only concerned Switzerland, but </w:t>
      </w:r>
    </w:p>
  </w:comment>
  <w:comment w:id="1" w:author="Unknown Author" w:date="2024-04-30T11:58:34Z" w:initials="">
    <w:p>
      <w:pPr>
        <w:overflowPunct w:val="true"/>
        <w:bidi w:val="0"/>
        <w:spacing w:before="0" w:after="0" w:lineRule="auto" w:line="240"/>
        <w:ind w:start="0" w:end="0" w:hanging="0"/>
        <w:jc w:val="start"/>
        <w:rPr/>
      </w:pPr>
      <w:r>
        <w:rPr>
          <w:rFonts w:ascii="Liberation Serif" w:hAnsi="Liberation Serif" w:eastAsia="NSimSun" w:cs="Arial"/>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 w:val="20"/>
          <w:szCs w:val="24"/>
          <w:u w:val="none"/>
          <w:shd w:fill="auto" w:val="clear"/>
          <w:vertAlign w:val="baseline"/>
          <w:em w:val="none"/>
          <w:lang w:val="en-GB" w:eastAsia="zh-CN" w:bidi="hi-IN"/>
        </w:rPr>
        <w:t>Nded to very word of a judg</w:t>
      </w:r>
    </w:p>
  </w:comment>
  <w:comment w:id="2" w:author="Unknown Author" w:date="2024-04-30T12:23:38Z" w:initials="">
    <w:p>
      <w:pPr>
        <w:overflowPunct w:val="true"/>
        <w:bidi w:val="0"/>
        <w:spacing w:before="0" w:after="0" w:lineRule="auto" w:line="240"/>
        <w:ind w:start="0" w:end="0" w:hanging="0"/>
        <w:jc w:val="start"/>
        <w:rPr/>
      </w:pPr>
      <w:r>
        <w:rPr>
          <w:rFonts w:ascii="Liberation Serif" w:hAnsi="Liberation Serif" w:eastAsia="NSimSun" w:cs="Arial"/>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 w:val="20"/>
          <w:szCs w:val="24"/>
          <w:u w:val="none"/>
          <w:shd w:fill="auto" w:val="clear"/>
          <w:vertAlign w:val="baseline"/>
          <w:em w:val="none"/>
          <w:lang w:val="en-GB" w:eastAsia="zh-CN" w:bidi="hi-IN"/>
        </w:rPr>
        <w:t>Hin he varis brabces of the Se</w:t>
      </w:r>
    </w:p>
  </w:comment>
  <w:comment w:id="3" w:author="Unknown Author" w:date="2024-05-11T10:03:41Z" w:initials="">
    <w:p>
      <w:pPr>
        <w:overflowPunct w:val="false"/>
        <w:bidi w:val="0"/>
        <w:spacing w:before="0" w:after="0" w:lineRule="auto" w:line="240"/>
        <w:ind w:start="0" w:end="0" w:hanging="0"/>
        <w:jc w:val="start"/>
        <w:rPr/>
      </w:pPr>
      <w:r>
        <w:rPr>
          <w:rFonts w:ascii="Liberation Serif" w:hAnsi="Liberation Serif" w:eastAsia="NSimSun" w:cs="Arial"/>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 w:val="20"/>
          <w:szCs w:val="24"/>
          <w:u w:val="none"/>
          <w:shd w:fill="auto" w:val="clear"/>
          <w:vertAlign w:val="baseline"/>
          <w:em w:val="none"/>
          <w:lang w:val="en-GB" w:eastAsia="zh-CN" w:bidi="hi-IN"/>
        </w:rPr>
        <w:t xml:space="preserve"> </w:t>
      </w:r>
    </w:p>
  </w:comment>
  <w:comment w:id="4" w:author="Unknown Author" w:date="2024-05-11T20:48:36Z" w:initials="">
    <w:p>
      <w:pPr>
        <w:overflowPunct w:val="false"/>
        <w:bidi w:val="0"/>
        <w:spacing w:before="0" w:after="0" w:lineRule="auto" w:line="240"/>
        <w:ind w:start="0" w:end="0" w:hanging="0"/>
        <w:jc w:val="start"/>
        <w:rPr/>
      </w:pPr>
      <w:r>
        <w:rPr>
          <w:rFonts w:ascii="Liberation Serif" w:hAnsi="Liberation Serif" w:eastAsia="NSimSun" w:cs="Arial"/>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 w:val="20"/>
          <w:szCs w:val="24"/>
          <w:u w:val="none"/>
          <w:shd w:fill="auto" w:val="clear"/>
          <w:vertAlign w:val="baseline"/>
          <w:em w:val="none"/>
          <w:lang w:val="en-GB" w:eastAsia="zh-CN" w:bidi="hi-IN"/>
        </w:rPr>
        <w:t>Hiccs;</w:t>
      </w:r>
    </w:p>
  </w:comment>
  <w:comment w:id="5" w:author="Unknown Author" w:date="2024-05-07T11:27:26Z" w:initials="">
    <w:p>
      <w:pPr>
        <w:overflowPunct w:val="false"/>
        <w:bidi w:val="0"/>
        <w:spacing w:before="0" w:after="0" w:lineRule="auto" w:line="240"/>
        <w:ind w:start="0" w:end="0" w:hanging="0"/>
        <w:jc w:val="start"/>
        <w:rPr/>
      </w:pPr>
      <w:r>
        <w:rPr>
          <w:rFonts w:ascii="Liberation Serif" w:hAnsi="Liberation Serif" w:eastAsia="NSimSun" w:cs="Arial"/>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 w:val="20"/>
          <w:szCs w:val="24"/>
          <w:u w:val="none"/>
          <w:shd w:fill="auto" w:val="clear"/>
          <w:vertAlign w:val="baseline"/>
          <w:em w:val="none"/>
          <w:lang w:val="en-GB" w:eastAsia="zh-CN" w:bidi="hi-IN"/>
        </w:rPr>
        <w:t xml:space="preserve">Oric </w:t>
      </w:r>
    </w:p>
  </w:comment>
  <w:comment w:id="6" w:author="Unknown Author" w:date="2024-05-03T10:19:43Z" w:initials="">
    <w:p>
      <w:pPr>
        <w:overflowPunct w:val="false"/>
        <w:bidi w:val="0"/>
        <w:spacing w:before="0" w:after="0" w:lineRule="auto" w:line="240"/>
        <w:ind w:start="0" w:end="0" w:hanging="0"/>
        <w:jc w:val="start"/>
        <w:rPr/>
      </w:pPr>
      <w:r>
        <w:rPr>
          <w:rFonts w:ascii="Liberation Serif" w:hAnsi="Liberation Serif" w:eastAsia="NSimSun" w:cs="Arial"/>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 w:val="20"/>
          <w:szCs w:val="24"/>
          <w:u w:val="none"/>
          <w:shd w:fill="auto" w:val="clear"/>
          <w:vertAlign w:val="baseline"/>
          <w:em w:val="none"/>
          <w:lang w:val="en-GB" w:eastAsia="zh-CN" w:bidi="hi-IN"/>
        </w:rPr>
        <w:t>he</w:t>
      </w:r>
    </w:p>
  </w:comment>
  <w:comment w:id="7" w:author="Unknown Author" w:date="2024-05-07T13:03:45Z" w:initials="">
    <w:p>
      <w:pPr>
        <w:overflowPunct w:val="false"/>
        <w:bidi w:val="0"/>
        <w:spacing w:before="0" w:after="0" w:lineRule="auto" w:line="240"/>
        <w:ind w:start="0" w:end="0" w:hanging="0"/>
        <w:jc w:val="start"/>
        <w:rPr/>
      </w:pPr>
      <w:r>
        <w:rPr>
          <w:rFonts w:ascii="Liberation Serif" w:hAnsi="Liberation Serif" w:eastAsia="NSimSun" w:cs="Arial"/>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 w:val="20"/>
          <w:szCs w:val="24"/>
          <w:u w:val="none"/>
          <w:shd w:fill="auto" w:val="clear"/>
          <w:vertAlign w:val="baseline"/>
          <w:em w:val="none"/>
          <w:lang w:val="en-GB" w:eastAsia="zh-CN" w:bidi="hi-IN"/>
        </w:rPr>
        <w:t xml:space="preserve">Es </w:t>
      </w:r>
    </w:p>
  </w:comment>
  <w:comment w:id="8" w:author="Unknown Author" w:date="2024-05-11T14:58:38Z" w:initials="">
    <w:p>
      <w:pPr>
        <w:overflowPunct w:val="false"/>
        <w:bidi w:val="0"/>
        <w:spacing w:before="0" w:after="0" w:lineRule="auto" w:line="240"/>
        <w:ind w:start="0" w:end="0" w:hanging="0"/>
        <w:jc w:val="start"/>
        <w:rPr/>
      </w:pPr>
      <w:r>
        <w:rPr>
          <w:rFonts w:ascii="Liberation Serif" w:hAnsi="Liberation Serif" w:eastAsia="NSimSun" w:cs="Arial"/>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 w:val="20"/>
          <w:szCs w:val="24"/>
          <w:u w:val="none"/>
          <w:shd w:fill="auto" w:val="clear"/>
          <w:vertAlign w:val="baseline"/>
          <w:em w:val="none"/>
          <w:lang w:val="en-GB" w:eastAsia="zh-CN" w:bidi="hi-IN"/>
        </w:rPr>
        <w:t xml:space="preserve">He </w:t>
      </w:r>
    </w:p>
  </w:comment>
  <w:comment w:id="9" w:author="Unknown Author" w:date="2024-05-11T16:31:30Z" w:initials="">
    <w:p>
      <w:pPr>
        <w:overflowPunct w:val="false"/>
        <w:bidi w:val="0"/>
        <w:spacing w:before="0" w:after="0" w:lineRule="auto" w:line="240"/>
        <w:ind w:start="0" w:end="0" w:hanging="0"/>
        <w:jc w:val="start"/>
        <w:rPr/>
      </w:pPr>
      <w:r>
        <w:rPr>
          <w:rFonts w:ascii="Liberation Serif" w:hAnsi="Liberation Serif" w:eastAsia="NSimSun" w:cs="Arial"/>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 w:val="20"/>
          <w:szCs w:val="24"/>
          <w:u w:val="none"/>
          <w:shd w:fill="auto" w:val="clear"/>
          <w:vertAlign w:val="baseline"/>
          <w:em w:val="none"/>
          <w:lang w:val="en-GB" w:eastAsia="zh-CN" w:bidi="hi-IN"/>
        </w:rPr>
        <w:t xml:space="preserve">H most part </w:t>
      </w:r>
    </w:p>
  </w:comment>
  <w:comment w:id="10" w:author="Unknown Author" w:date="2024-05-11T17:59:09Z" w:initials="">
    <w:p>
      <w:pPr>
        <w:overflowPunct w:val="false"/>
        <w:bidi w:val="0"/>
        <w:spacing w:before="0" w:after="0" w:lineRule="auto" w:line="240"/>
        <w:ind w:start="0" w:end="0" w:hanging="0"/>
        <w:jc w:val="start"/>
        <w:rPr/>
      </w:pPr>
      <w:r>
        <w:rPr>
          <w:rFonts w:ascii="Liberation Serif" w:hAnsi="Liberation Serif" w:eastAsia="NSimSun" w:cs="Arial"/>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 w:val="20"/>
          <w:szCs w:val="24"/>
          <w:u w:val="none"/>
          <w:shd w:fill="auto" w:val="clear"/>
          <w:vertAlign w:val="baseline"/>
          <w:em w:val="none"/>
          <w:lang w:val="en-GB" w:eastAsia="zh-CN" w:bidi="hi-IN"/>
        </w:rPr>
        <w:t>h</w:t>
      </w:r>
    </w:p>
  </w:comment>
  <w:comment w:id="11" w:author="Unknown Author" w:date="2024-05-12T10:47:18Z" w:initials="">
    <w:p>
      <w:pPr>
        <w:overflowPunct w:val="false"/>
        <w:bidi w:val="0"/>
        <w:spacing w:before="0" w:after="0" w:lineRule="auto" w:line="240"/>
        <w:ind w:start="0" w:end="0" w:hanging="0"/>
        <w:jc w:val="start"/>
        <w:rPr/>
      </w:pPr>
      <w:r>
        <w:rPr>
          <w:rFonts w:ascii="Liberation Serif" w:hAnsi="Liberation Serif" w:eastAsia="NSimSun" w:cs="Arial"/>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 w:val="20"/>
          <w:szCs w:val="24"/>
          <w:u w:val="none"/>
          <w:shd w:fill="auto" w:val="clear"/>
          <w:vertAlign w:val="baseline"/>
          <w:em w:val="none"/>
          <w:lang w:val="en-GB" w:eastAsia="zh-CN" w:bidi="hi-IN"/>
        </w:rPr>
        <w:t xml:space="preserve">Ttebp </w:t>
      </w:r>
    </w:p>
  </w:comment>
  <w:comment w:id="12" w:author="Unknown Author" w:date="2024-05-13T10:49:05Z" w:initials="">
    <w:p>
      <w:pPr>
        <w:overflowPunct w:val="false"/>
        <w:bidi w:val="0"/>
        <w:spacing w:before="0" w:after="0" w:lineRule="auto" w:line="240"/>
        <w:ind w:start="0" w:end="0" w:hanging="0"/>
        <w:jc w:val="start"/>
        <w:rPr/>
      </w:pPr>
      <w:r>
        <w:rPr>
          <w:rFonts w:ascii="Liberation Serif" w:hAnsi="Liberation Serif" w:eastAsia="NSimSun" w:cs="Arial"/>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 w:val="20"/>
          <w:szCs w:val="24"/>
          <w:u w:val="none"/>
          <w:shd w:fill="auto" w:val="clear"/>
          <w:vertAlign w:val="baseline"/>
          <w:em w:val="none"/>
          <w:lang w:val="en-GB" w:eastAsia="zh-CN" w:bidi="hi-IN"/>
        </w:rPr>
        <w:t xml:space="preserve">Hey </w:t>
      </w:r>
    </w:p>
  </w:comment>
  <w:comment w:id="13" w:author="Unknown Author" w:date="2024-05-13T16:32:00Z" w:initials="">
    <w:p>
      <w:pPr>
        <w:overflowPunct w:val="false"/>
        <w:bidi w:val="0"/>
        <w:spacing w:before="0" w:after="0" w:lineRule="auto" w:line="240"/>
        <w:ind w:start="0" w:end="0" w:hanging="0"/>
        <w:jc w:val="start"/>
        <w:rPr/>
      </w:pPr>
      <w:r>
        <w:rPr>
          <w:rFonts w:ascii="Liberation Serif" w:hAnsi="Liberation Serif" w:eastAsia="NSimSun" w:cs="Arial"/>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 w:val="20"/>
          <w:szCs w:val="24"/>
          <w:u w:val="none"/>
          <w:shd w:fill="auto" w:val="clear"/>
          <w:vertAlign w:val="baseline"/>
          <w:em w:val="none"/>
          <w:lang w:val="en-GB" w:eastAsia="zh-CN" w:bidi="hi-IN"/>
        </w:rPr>
        <w:t xml:space="preserve">Ensified ny global warming. </w:t>
      </w:r>
    </w:p>
  </w:comment>
  <w:comment w:id="14" w:author="Unknown Author" w:date="2024-05-15T17:20:13Z" w:initials="">
    <w:p>
      <w:pPr>
        <w:overflowPunct w:val="false"/>
        <w:bidi w:val="0"/>
        <w:spacing w:before="0" w:after="0" w:lineRule="auto" w:line="240"/>
        <w:ind w:start="0" w:end="0" w:hanging="0"/>
        <w:jc w:val="start"/>
        <w:rPr/>
      </w:pPr>
      <w:r>
        <w:rPr>
          <w:rFonts w:ascii="Liberation Serif" w:hAnsi="Liberation Serif" w:eastAsia="NSimSun" w:cs="Arial"/>
          <w:b w:val="false"/>
          <w:bCs w:val="false"/>
          <w:i w:val="false"/>
          <w:iCs w:val="false"/>
          <w:caps w:val="false"/>
          <w:smallCaps w:val="false"/>
          <w:strike w:val="false"/>
          <w:dstrike w:val="false"/>
          <w:outline w:val="false"/>
          <w:shadow w:val="false"/>
          <w:emboss w:val="false"/>
          <w:imprint w:val="false"/>
          <w:color w:val="auto"/>
          <w:spacing w:val="0"/>
          <w:w w:val="100"/>
          <w:kern w:val="2"/>
          <w:position w:val="0"/>
          <w:sz w:val="20"/>
          <w:sz w:val="20"/>
          <w:szCs w:val="24"/>
          <w:u w:val="none"/>
          <w:shd w:fill="auto" w:val="clear"/>
          <w:vertAlign w:val="baseline"/>
          <w:em w:val="none"/>
          <w:lang w:val="en-GB" w:eastAsia="zh-CN" w:bidi="hi-IN"/>
        </w:rPr>
        <w:t>Hese side</w:t>
      </w:r>
    </w:p>
  </w:comment>
</w:comments>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font>
  <w:font w:name="Symbol">
    <w:charset w:val="02"/>
    <w:family w:val="roman"/>
    <w:pitch w:val="variable"/>
  </w:font>
  <w:font w:name="Arial">
    <w:charset w:val="00" w:characterSet="windows-1252"/>
    <w:family w:val="swiss"/>
    <w:pitch w:val="variable"/>
  </w:font>
  <w:font w:name="Liberation Serif">
    <w:altName w:val="Times New Roman"/>
    <w:charset w:val="01" w:characterSet="utf-8"/>
    <w:family w:val="roman"/>
    <w:pitch w:val="variable"/>
  </w:font>
  <w:font w:name="Liberation Serif">
    <w:altName w:val="Times New Roman"/>
    <w:charset w:val="01" w:characterSet="utf-8"/>
    <w:family w:val="swiss"/>
    <w:pitch w:val="variable"/>
  </w:font>
  <w:font w:name="OpenSymbol">
    <w:altName w:val="Arial Unicode MS"/>
    <w:charset w:val="01" w:characterSet="utf-8"/>
    <w:family w:val="roman"/>
    <w:pitch w:val="variable"/>
  </w:font>
  <w:font w:name="Liberation Sans">
    <w:altName w:val="Arial"/>
    <w:charset w:val="01" w:characterSet="utf-8"/>
    <w:family w:val="roman"/>
    <w:pitch w:val="variable"/>
  </w:font>
  <w:font w:name="Liberation Mono">
    <w:altName w:val="Courier New"/>
    <w:charset w:val="01" w:characterSet="utf-8"/>
    <w:family w:val="roman"/>
    <w:pitch w:val="variable"/>
  </w:font>
  <w:font w:name="OpenSymbol">
    <w:altName w:val="Arial Unicode MS"/>
    <w:charset w:val="01"/>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bidi w:val="0"/>
      <w:jc w:val="start"/>
      <w:rPr/>
    </w:pPr>
    <w:r>
      <w:rPr/>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footnote w:id="0" w:type="separator">
    <w:p>
      <w:pPr>
        <w:rPr>
          <w:sz w:val="12"/>
        </w:rPr>
      </w:pPr>
      <w:r>
        <w:separator/>
      </w:r>
    </w:p>
  </w:footnote>
  <w:footnote w:id="1" w:type="continuationSeparator">
    <w:p>
      <w:pPr>
        <w:rPr>
          <w:sz w:val="12"/>
        </w:rPr>
      </w:pPr>
      <w:r>
        <w:continuationSeparator/>
      </w:r>
    </w:p>
  </w:footnote>
  <w:footnote w:id="2">
    <w:p>
      <w:pPr>
        <w:pStyle w:val="FootnoteText"/>
        <w:suppressLineNumbers/>
        <w:bidi w:val="0"/>
        <w:ind w:hanging="340" w:start="340"/>
        <w:jc w:val="start"/>
        <w:rPr/>
      </w:pPr>
      <w:r>
        <w:rPr>
          <w:rStyle w:val="FootnoteCharacters"/>
        </w:rPr>
        <w:footnoteRef/>
      </w:r>
      <w:hyperlink r:id="rId1">
        <w:r>
          <w:rPr>
            <w:rStyle w:val="Hyperlink"/>
          </w:rPr>
          <w:tab/>
          <w:t>https://hudoc.echr.coe.int/eng?i=001-233206</w:t>
        </w:r>
      </w:hyperlink>
      <w:r>
        <w:rPr/>
        <w:t xml:space="preserve"> </w:t>
      </w:r>
    </w:p>
  </w:footnote>
  <w:footnote w:id="3">
    <w:p>
      <w:pPr>
        <w:pStyle w:val="FootnoteText"/>
        <w:bidi w:val="0"/>
        <w:jc w:val="start"/>
        <w:rPr/>
      </w:pPr>
      <w:r>
        <w:rPr>
          <w:rStyle w:val="FootnoteCharacters"/>
        </w:rPr>
        <w:footnoteRef/>
      </w:r>
      <w:r>
        <w:rPr/>
        <w:tab/>
        <w:t>The title of an award-winning science fiction novel by Kim Stanley Robinson (2020).</w:t>
      </w:r>
    </w:p>
  </w:footnote>
  <w:footnote w:id="4">
    <w:p>
      <w:pPr>
        <w:pStyle w:val="FootnoteText"/>
        <w:bidi w:val="0"/>
        <w:jc w:val="start"/>
        <w:rPr/>
      </w:pPr>
      <w:r>
        <w:rPr>
          <w:rStyle w:val="FootnoteCharacters"/>
        </w:rPr>
        <w:footnoteRef/>
      </w:r>
      <w:r>
        <w:rPr/>
        <w:tab/>
        <w:t>See paragraphs 31ff below for a concrete example.</w:t>
      </w:r>
    </w:p>
  </w:footnote>
  <w:footnote w:id="5">
    <w:p>
      <w:pPr>
        <w:pStyle w:val="FootnoteText"/>
        <w:suppressLineNumbers/>
        <w:bidi w:val="0"/>
        <w:ind w:hanging="340" w:start="340"/>
        <w:jc w:val="start"/>
        <w:rPr/>
      </w:pPr>
      <w:r>
        <w:rPr>
          <w:rStyle w:val="FootnoteCharacters"/>
        </w:rPr>
        <w:footnoteRef/>
      </w:r>
      <w:r>
        <w:fldChar w:fldCharType="begin"/>
      </w:r>
      <w:r>
        <w:rPr>
          <w:rStyle w:val="Hyperlink"/>
        </w:rPr>
        <w:instrText xml:space="preserve"> HYPERLINK "https://www.simplypsychology.org/marshmallow-test.html" \l "The-Stanford-Marshmallow-Experiments"</w:instrText>
      </w:r>
      <w:r>
        <w:rPr>
          <w:rStyle w:val="Hyperlink"/>
        </w:rPr>
        <w:fldChar w:fldCharType="separate"/>
      </w:r>
      <w:r>
        <w:rPr>
          <w:rStyle w:val="Hyperlink"/>
        </w:rPr>
        <w:tab/>
        <w:t>https://www.simplypsychology.org/marshmallow-test.html#The-Stanford-Marshmallow-Experiments</w:t>
      </w:r>
      <w:r>
        <w:rPr>
          <w:rStyle w:val="Hyperlink"/>
        </w:rPr>
        <w:fldChar w:fldCharType="end"/>
      </w:r>
      <w:r>
        <w:rPr/>
        <w:t xml:space="preserve"> </w:t>
      </w:r>
    </w:p>
  </w:footnote>
  <w:footnote w:id="6">
    <w:p>
      <w:pPr>
        <w:pStyle w:val="FootnoteText"/>
        <w:bidi w:val="0"/>
        <w:jc w:val="start"/>
        <w:rPr/>
      </w:pPr>
      <w:r>
        <w:rPr>
          <w:rStyle w:val="FootnoteCharacters"/>
        </w:rPr>
        <w:footnoteRef/>
      </w:r>
      <w:r>
        <w:rPr>
          <w:i/>
          <w:iCs/>
        </w:rPr>
        <w:tab/>
        <w:t>Thinking, Fast and Slow</w:t>
      </w:r>
      <w:r>
        <w:rPr/>
        <w:t>, 2013.</w:t>
      </w:r>
    </w:p>
  </w:footnote>
  <w:footnote w:id="7">
    <w:p>
      <w:pPr>
        <w:pStyle w:val="FootnoteText"/>
        <w:bidi w:val="0"/>
        <w:jc w:val="start"/>
        <w:rPr/>
      </w:pPr>
      <w:r>
        <w:rPr>
          <w:rStyle w:val="FootnoteCharacters"/>
        </w:rPr>
        <w:footnoteRef/>
      </w:r>
      <w:r>
        <w:rPr/>
        <w:tab/>
        <w:t xml:space="preserve">From A.C. Pigou’s seminal </w:t>
      </w:r>
      <w:r>
        <w:rPr>
          <w:i/>
          <w:iCs/>
        </w:rPr>
        <w:t>The Economics of Welfare</w:t>
      </w:r>
      <w:r>
        <w:rPr/>
        <w:t>, 1920</w:t>
      </w:r>
    </w:p>
  </w:footnote>
  <w:footnote w:id="8">
    <w:p>
      <w:pPr>
        <w:pStyle w:val="FootnoteText"/>
        <w:suppressLineNumbers/>
        <w:bidi w:val="0"/>
        <w:ind w:hanging="340" w:start="340"/>
        <w:jc w:val="start"/>
        <w:rPr/>
      </w:pPr>
      <w:r>
        <w:rPr>
          <w:rStyle w:val="FootnoteCharacters"/>
        </w:rPr>
        <w:footnoteRef/>
      </w:r>
      <w:r>
        <w:rPr/>
        <w:tab/>
        <w:t xml:space="preserve">See for instance </w:t>
      </w:r>
      <w:hyperlink r:id="rId2">
        <w:r>
          <w:rPr>
            <w:rStyle w:val="Hyperlink"/>
          </w:rPr>
          <w:t>https://www.epa.gov/system/files/documents/2023-12/epa_scghg_2023_report_final.pdf</w:t>
        </w:r>
      </w:hyperlink>
      <w:r>
        <w:rPr/>
        <w:t xml:space="preserve"> , p 78</w:t>
      </w:r>
    </w:p>
  </w:footnote>
  <w:footnote w:id="9">
    <w:p>
      <w:pPr>
        <w:pStyle w:val="FootnoteText"/>
        <w:suppressLineNumbers/>
        <w:bidi w:val="0"/>
        <w:ind w:hanging="340" w:start="340"/>
        <w:jc w:val="start"/>
        <w:rPr/>
      </w:pPr>
      <w:r>
        <w:rPr>
          <w:rStyle w:val="FootnoteCharacters"/>
        </w:rPr>
        <w:footnoteRef/>
      </w:r>
      <w:hyperlink r:id="rId3">
        <w:r>
          <w:rPr>
            <w:rStyle w:val="Hyperlink"/>
          </w:rPr>
          <w:tab/>
          <w:t>https://read.oecd-ilibrary.org/taxation/effective-carbon-rates-2023_b84d5b36-en</w:t>
        </w:r>
      </w:hyperlink>
    </w:p>
  </w:footnote>
  <w:footnote w:id="10">
    <w:p>
      <w:pPr>
        <w:pStyle w:val="FootnoteText"/>
        <w:suppressLineNumbers/>
        <w:bidi w:val="0"/>
        <w:ind w:hanging="340" w:start="340"/>
        <w:jc w:val="start"/>
        <w:rPr/>
      </w:pPr>
      <w:r>
        <w:rPr>
          <w:rStyle w:val="FootnoteCharacters"/>
        </w:rPr>
        <w:footnoteRef/>
      </w:r>
      <w:hyperlink r:id="rId4">
        <w:r>
          <w:rPr>
            <w:rStyle w:val="Hyperlink"/>
          </w:rPr>
          <w:tab/>
          <w:t>https://www.oecd.org/climate-change/inclusive-forum-on-carbon-mitigation-approaches/</w:t>
        </w:r>
      </w:hyperlink>
      <w:r>
        <w:rPr/>
        <w:t xml:space="preserve"> </w:t>
      </w:r>
    </w:p>
  </w:footnote>
  <w:footnote w:id="11">
    <w:p>
      <w:pPr>
        <w:pStyle w:val="FootnoteText"/>
        <w:suppressLineNumbers/>
        <w:bidi w:val="0"/>
        <w:ind w:hanging="340" w:start="340"/>
        <w:jc w:val="start"/>
        <w:rPr/>
      </w:pPr>
      <w:r>
        <w:rPr>
          <w:rStyle w:val="FootnoteCharacters"/>
        </w:rPr>
        <w:footnoteRef/>
      </w:r>
      <w:r>
        <w:rPr>
          <w:rStyle w:val="Hyperlink"/>
        </w:rPr>
        <w:tab/>
        <w:t>https://stat.link/2s67g0</w:t>
      </w:r>
    </w:p>
  </w:footnote>
  <w:footnote w:id="12">
    <w:p>
      <w:pPr>
        <w:pStyle w:val="FootnoteText"/>
        <w:suppressLineNumbers/>
        <w:bidi w:val="0"/>
        <w:ind w:hanging="340" w:start="340"/>
        <w:jc w:val="start"/>
        <w:rPr/>
      </w:pPr>
      <w:r>
        <w:rPr>
          <w:rStyle w:val="FootnoteCharacters"/>
        </w:rPr>
        <w:footnoteRef/>
      </w:r>
      <w:hyperlink r:id="rId5">
        <w:r>
          <w:rPr>
            <w:rStyle w:val="Hyperlink"/>
          </w:rPr>
          <w:tab/>
          <w:t>https://www.whitehouse.gov/wp-content/uploads/2023/11/CircularA-4.pdf</w:t>
        </w:r>
      </w:hyperlink>
      <w:r>
        <w:rPr/>
        <w:t xml:space="preserve"> </w:t>
      </w:r>
    </w:p>
  </w:footnote>
  <w:footnote w:id="13">
    <w:p>
      <w:pPr>
        <w:pStyle w:val="FootnoteText"/>
        <w:suppressLineNumbers/>
        <w:bidi w:val="0"/>
        <w:ind w:hanging="340" w:start="340"/>
        <w:jc w:val="start"/>
        <w:rPr/>
      </w:pPr>
      <w:r>
        <w:rPr>
          <w:rStyle w:val="FootnoteCharacters"/>
        </w:rPr>
        <w:footnoteRef/>
      </w:r>
      <w:hyperlink r:id="rId6">
        <w:r>
          <w:rPr>
            <w:rStyle w:val="Hyperlink"/>
          </w:rPr>
          <w:tab/>
          <w:t>https://data.oecd.org/</w:t>
        </w:r>
      </w:hyperlink>
      <w:r>
        <w:rPr/>
        <w:t xml:space="preserve"> Annual rates are linear, calculated as index change/20, not CAGRs. Another measurement problem is that technical progress is not really exogenous, as with economies of scale.</w:t>
      </w:r>
    </w:p>
  </w:footnote>
  <w:footnote w:id="14">
    <w:p>
      <w:pPr>
        <w:pStyle w:val="FootnoteText"/>
        <w:bidi w:val="0"/>
        <w:jc w:val="start"/>
        <w:rPr/>
      </w:pPr>
      <w:r>
        <w:rPr>
          <w:rStyle w:val="FootnoteCharacters"/>
        </w:rPr>
        <w:footnoteRef/>
      </w:r>
      <w:hyperlink r:id="rId7">
        <w:r>
          <w:rPr>
            <w:rStyle w:val="Hyperlink"/>
          </w:rPr>
          <w:tab/>
          <w:t>St</w:t>
        </w:r>
      </w:hyperlink>
      <w:hyperlink r:id="rId9">
        <w:r>
          <w:rPr>
            <w:rStyle w:val="Hyperlink"/>
            <w:color w:val="000080"/>
          </w:rPr>
          <w:t xml:space="preserve">ern </w:t>
        </w:r>
      </w:hyperlink>
      <w:r>
        <w:rPr>
          <w:rStyle w:val="Hyperlink"/>
        </w:rPr>
        <w:t>(2006, Chs. 2,2A)</w:t>
      </w:r>
      <w:r>
        <w:rPr/>
        <w:t xml:space="preserve"> allows a tiny rate of 0.1% p.a. for the risk of human extinction. There have been five major mass extinction events since the Cambrian, at ca. 445, 370, 252, 201, and 66 my BP, plus one going on today. Pre-Cambrian extinctions are probable but speculative from the absence of fossils. The drivers of these catastrophes, apart from the latest, were probably rare geophysical events like mega-volcanism and asteroid impacts, which could in principle recur at similarly very long intervals.</w:t>
      </w:r>
    </w:p>
  </w:footnote>
  <w:footnote w:id="15">
    <w:p>
      <w:pPr>
        <w:pStyle w:val="FootnoteText"/>
        <w:suppressLineNumbers/>
        <w:bidi w:val="0"/>
        <w:ind w:hanging="340" w:start="340"/>
        <w:jc w:val="start"/>
        <w:rPr/>
      </w:pPr>
      <w:r>
        <w:rPr>
          <w:rStyle w:val="FootnoteCharacters"/>
        </w:rPr>
        <w:footnoteRef/>
      </w:r>
      <w:hyperlink r:id="rId10">
        <w:r>
          <w:rPr>
            <w:rStyle w:val="Hyperlink"/>
          </w:rPr>
          <w:tab/>
          <w:t>https://johnquiggin.com/2012/04/22/future-generations-are-already-here/</w:t>
        </w:r>
      </w:hyperlink>
      <w:r>
        <w:rPr/>
        <w:t xml:space="preserve"> </w:t>
      </w:r>
    </w:p>
  </w:footnote>
  <w:footnote w:id="16">
    <w:p>
      <w:pPr>
        <w:pStyle w:val="FootnoteText"/>
        <w:bidi w:val="0"/>
        <w:jc w:val="start"/>
        <w:rPr/>
      </w:pPr>
      <w:r>
        <w:rPr>
          <w:rStyle w:val="FootnoteCharacters"/>
        </w:rPr>
        <w:footnoteRef/>
      </w:r>
      <w:r>
        <w:rPr/>
        <w:tab/>
        <w:t xml:space="preserve">I would quote Bismarck on laws and sausages, except that he didn’t say it: </w:t>
      </w:r>
      <w:hyperlink r:id="rId11">
        <w:r>
          <w:rPr>
            <w:rStyle w:val="Hyperlink"/>
          </w:rPr>
          <w:t>https://de.wikiquote.org/wiki/Otto_von_Bismarck</w:t>
        </w:r>
      </w:hyperlink>
      <w:r>
        <w:rPr/>
        <w:t xml:space="preserve">. </w:t>
      </w:r>
      <w:r>
        <w:rPr>
          <w:i/>
          <w:iCs/>
        </w:rPr>
        <w:t>Bons mots</w:t>
      </w:r>
      <w:r>
        <w:rPr/>
        <w:t xml:space="preserve"> gravitate to already famous people.</w:t>
      </w:r>
    </w:p>
  </w:footnote>
  <w:footnote w:id="17">
    <w:p>
      <w:pPr>
        <w:pStyle w:val="FootnoteText"/>
        <w:suppressLineNumbers/>
        <w:bidi w:val="0"/>
        <w:ind w:hanging="340" w:start="340"/>
        <w:jc w:val="start"/>
        <w:rPr/>
      </w:pPr>
      <w:r>
        <w:rPr>
          <w:rStyle w:val="FootnoteCharacters"/>
        </w:rPr>
        <w:footnoteRef/>
      </w:r>
      <w:hyperlink r:id="rId12">
        <w:r>
          <w:rPr>
            <w:rStyle w:val="Hyperlink"/>
          </w:rPr>
          <w:tab/>
          <w:t>https://theconversation.com/why-is-climate-changes-2-degrees-celsius-of-warming-limit-so-important-82058</w:t>
        </w:r>
      </w:hyperlink>
      <w:r>
        <w:rPr/>
        <w:t xml:space="preserve"> </w:t>
      </w:r>
    </w:p>
  </w:footnote>
  <w:footnote w:id="18">
    <w:p>
      <w:pPr>
        <w:pStyle w:val="FootnoteText"/>
        <w:suppressLineNumbers/>
        <w:bidi w:val="0"/>
        <w:ind w:hanging="340" w:start="340"/>
        <w:jc w:val="start"/>
        <w:rPr/>
      </w:pPr>
      <w:r>
        <w:rPr>
          <w:rStyle w:val="FootnoteCharacters"/>
        </w:rPr>
        <w:footnoteRef/>
      </w:r>
      <w:hyperlink r:id="rId13">
        <w:r>
          <w:rPr>
            <w:rStyle w:val="Hyperlink"/>
          </w:rPr>
          <w:tab/>
          <w:t>https://en.wikipedia.org/wiki/Demon_core</w:t>
        </w:r>
      </w:hyperlink>
      <w:r>
        <w:rPr/>
        <w:t xml:space="preserve"> The wielder of the screwdriver made a small mistake and died nine days later of </w:t>
      </w:r>
      <w:r>
        <w:rPr>
          <w:sz w:val="20"/>
          <w:szCs w:val="20"/>
        </w:rPr>
        <w:t>radiation</w:t>
      </w:r>
      <w:r>
        <w:rPr/>
        <w:t xml:space="preserve"> poisoning.</w:t>
      </w:r>
    </w:p>
  </w:footnote>
  <w:footnote w:id="19">
    <w:p>
      <w:pPr>
        <w:pStyle w:val="FootnoteText"/>
        <w:suppressLineNumbers/>
        <w:bidi w:val="0"/>
        <w:ind w:hanging="340" w:start="340"/>
        <w:jc w:val="start"/>
        <w:rPr/>
      </w:pPr>
      <w:r>
        <w:rPr>
          <w:rStyle w:val="FootnoteCharacters"/>
        </w:rPr>
        <w:footnoteRef/>
      </w:r>
      <w:hyperlink r:id="rId14">
        <w:r>
          <w:rPr>
            <w:rStyle w:val="Hyperlink"/>
          </w:rPr>
          <w:tab/>
          <w:t>https://www.overshootcommission.org/</w:t>
        </w:r>
      </w:hyperlink>
      <w:r>
        <w:rPr/>
        <w:t xml:space="preserve"> </w:t>
      </w:r>
    </w:p>
  </w:footnote>
  <w:footnote w:id="20">
    <w:p>
      <w:pPr>
        <w:pStyle w:val="FootnoteText"/>
        <w:suppressLineNumbers/>
        <w:bidi w:val="0"/>
        <w:ind w:hanging="340" w:start="340"/>
        <w:jc w:val="start"/>
        <w:rPr/>
      </w:pPr>
      <w:r>
        <w:rPr>
          <w:rStyle w:val="FootnoteCharacters"/>
        </w:rPr>
        <w:footnoteRef/>
      </w:r>
      <w:hyperlink r:id="rId15">
        <w:r>
          <w:rPr>
            <w:rStyle w:val="Hyperlink"/>
          </w:rPr>
          <w:tab/>
          <w:t>https://www.stateofcdr.org/</w:t>
        </w:r>
      </w:hyperlink>
      <w:r>
        <w:rPr/>
        <w:t xml:space="preserve"> </w:t>
      </w:r>
    </w:p>
  </w:footnote>
  <w:footnote w:id="21">
    <w:p>
      <w:pPr>
        <w:pStyle w:val="FootnoteText"/>
        <w:bidi w:val="0"/>
        <w:jc w:val="start"/>
        <w:rPr/>
      </w:pPr>
      <w:r>
        <w:rPr>
          <w:rStyle w:val="FootnoteCharacters"/>
        </w:rPr>
        <w:footnoteRef/>
      </w:r>
      <w:r>
        <w:rPr/>
        <w:tab/>
        <w:t xml:space="preserve">For illustration, I had a go at guessing total costs in a letter to the Climate Overshoot Commission, but </w:t>
      </w:r>
      <w:r>
        <w:rPr>
          <w:b/>
          <w:bCs/>
        </w:rPr>
        <w:t>nobody should rely on it</w:t>
      </w:r>
      <w:r>
        <w:rPr/>
        <w:t xml:space="preserve">. </w:t>
      </w:r>
      <w:hyperlink r:id="rId16">
        <w:r>
          <w:rPr>
            <w:rStyle w:val="Hyperlink"/>
          </w:rPr>
          <w:t>http://www.jameswimberley.es/Notes/Overshoot%20Commission%20Lamy%20let.html</w:t>
        </w:r>
      </w:hyperlink>
      <w:r>
        <w:rPr/>
        <w:t xml:space="preserve"> </w:t>
      </w:r>
    </w:p>
  </w:footnote>
  <w:footnote w:id="22">
    <w:p>
      <w:pPr>
        <w:pStyle w:val="FootnoteText"/>
        <w:suppressLineNumbers/>
        <w:bidi w:val="0"/>
        <w:ind w:hanging="340" w:start="340"/>
        <w:jc w:val="start"/>
        <w:rPr/>
      </w:pPr>
      <w:r>
        <w:rPr>
          <w:rStyle w:val="FootnoteCharacters"/>
        </w:rPr>
        <w:footnoteRef/>
      </w:r>
      <w:hyperlink r:id="rId17">
        <w:r>
          <w:rPr>
            <w:rStyle w:val="Hyperlink"/>
          </w:rPr>
          <w:tab/>
          <w:t>https://about.bnef.com/blog/global-clean-energy-investment-jumps-17-hitngs-1-8-trillion-in-2023-according-to-bloombergnef-report/</w:t>
        </w:r>
      </w:hyperlink>
      <w:r>
        <w:rPr/>
        <w:t xml:space="preserve"> </w:t>
      </w:r>
    </w:p>
  </w:footnote>
  <w:footnote w:id="23">
    <w:p>
      <w:pPr>
        <w:pStyle w:val="FootnoteText"/>
        <w:bidi w:val="0"/>
        <w:jc w:val="start"/>
        <w:rPr/>
      </w:pPr>
      <w:r>
        <w:rPr>
          <w:rStyle w:val="FootnoteCharacters"/>
        </w:rPr>
        <w:footnoteRef/>
      </w:r>
      <w:r>
        <w:rPr>
          <w:i/>
          <w:iCs/>
        </w:rPr>
        <w:tab/>
        <w:t>Epistolam Joannis ad Parthos</w:t>
      </w:r>
      <w:r>
        <w:rPr/>
        <w:t xml:space="preserve"> (ad 413), tractatus 7, sect. 8. The original has d</w:t>
      </w:r>
      <w:r>
        <w:rPr>
          <w:i/>
          <w:iCs/>
        </w:rPr>
        <w:t xml:space="preserve">ilige </w:t>
      </w:r>
      <w:r>
        <w:rPr>
          <w:i w:val="false"/>
          <w:iCs w:val="false"/>
        </w:rPr>
        <w:t xml:space="preserve">not </w:t>
      </w:r>
      <w:r>
        <w:rPr>
          <w:i/>
          <w:iCs/>
        </w:rPr>
        <w:t xml:space="preserve">ama, </w:t>
      </w:r>
      <w:r>
        <w:rPr>
          <w:b w:val="false"/>
          <w:bCs w:val="false"/>
          <w:i w:val="false"/>
          <w:iCs w:val="false"/>
        </w:rPr>
        <w:t xml:space="preserve">but the latter is now canonical. </w:t>
      </w:r>
    </w:p>
  </w:footnote>
  <w:footnote w:id="24">
    <w:p>
      <w:pPr>
        <w:pStyle w:val="FootnoteText"/>
        <w:bidi w:val="0"/>
        <w:jc w:val="start"/>
        <w:rPr/>
      </w:pPr>
      <w:r>
        <w:rPr>
          <w:rStyle w:val="FootnoteCharacters"/>
        </w:rPr>
        <w:footnoteRef/>
      </w:r>
      <w:r>
        <w:rPr/>
        <w:tab/>
        <w:t xml:space="preserve">Up to about 1700 CE, the only available sources of energy were in principle sustainable: wind, water, firewood and charcoal, and the labour of draught animals and human workers. The wood was not managed sustainably, </w:t>
      </w:r>
      <w:r>
        <w:rPr>
          <w:rFonts w:eastAsia="NSimSun" w:cs="Arial"/>
          <w:color w:val="auto"/>
          <w:kern w:val="2"/>
          <w:sz w:val="20"/>
          <w:szCs w:val="20"/>
          <w:lang w:val="en-GB" w:eastAsia="zh-CN" w:bidi="hi-IN"/>
        </w:rPr>
        <w:t>leading</w:t>
      </w:r>
      <w:r>
        <w:rPr/>
        <w:t xml:space="preserve"> to the fateful switch to coal.</w:t>
      </w:r>
    </w:p>
  </w:footnote>
  <w:footnote w:id="25">
    <w:p>
      <w:pPr>
        <w:pStyle w:val="FootnoteText"/>
        <w:suppressLineNumbers/>
        <w:bidi w:val="0"/>
        <w:ind w:hanging="340" w:start="340"/>
        <w:jc w:val="start"/>
        <w:rPr/>
      </w:pPr>
      <w:r>
        <w:rPr>
          <w:rStyle w:val="FootnoteCharacters"/>
        </w:rPr>
        <w:footnoteRef/>
      </w:r>
      <w:hyperlink r:id="rId18">
        <w:r>
          <w:rPr>
            <w:rStyle w:val="Hyperlink"/>
          </w:rPr>
          <w:tab/>
          <w:t>https://www.eea.europa.eu/en/topics/in-depth/air-pollution/eow-it-affects-our-health</w:t>
        </w:r>
      </w:hyperlink>
      <w:r>
        <w:rPr/>
        <w:t xml:space="preserve"> . Includes links to sources. T</w:t>
      </w:r>
      <w:r>
        <w:rPr>
          <w:sz w:val="20"/>
          <w:szCs w:val="20"/>
        </w:rPr>
        <w:t>h</w:t>
      </w:r>
      <w:r>
        <w:rPr/>
        <w:t xml:space="preserve">e </w:t>
      </w:r>
      <w:r>
        <w:rPr>
          <w:sz w:val="20"/>
          <w:szCs w:val="20"/>
        </w:rPr>
        <w:t xml:space="preserve">“global review” cited from 2019 is at </w:t>
      </w:r>
      <w:hyperlink r:id="rId19">
        <w:r>
          <w:rPr>
            <w:rStyle w:val="Hyperlink"/>
            <w:sz w:val="20"/>
            <w:szCs w:val="20"/>
          </w:rPr>
          <w:t>https://www.ncbi.nlm.nih.gov/pmc/articles/PMC6904854/</w:t>
        </w:r>
      </w:hyperlink>
      <w:r>
        <w:rPr>
          <w:sz w:val="20"/>
          <w:szCs w:val="20"/>
        </w:rPr>
        <w:t xml:space="preserve"> .</w:t>
      </w:r>
    </w:p>
  </w:footnote>
  <w:footnote w:id="26">
    <w:p>
      <w:pPr>
        <w:pStyle w:val="FootnoteText"/>
        <w:suppressLineNumbers/>
        <w:bidi w:val="0"/>
        <w:ind w:hanging="340" w:start="340"/>
        <w:jc w:val="start"/>
        <w:rPr/>
      </w:pPr>
      <w:r>
        <w:rPr>
          <w:rStyle w:val="FootnoteCharacters"/>
        </w:rPr>
        <w:footnoteRef/>
      </w:r>
      <w:hyperlink r:id="rId20">
        <w:r>
          <w:rPr>
            <w:rStyle w:val="Hyperlink"/>
          </w:rPr>
          <w:tab/>
          <w:t>https://www.sciencedirect.com/science/article/pii/S0013935123008216</w:t>
        </w:r>
      </w:hyperlink>
      <w:r>
        <w:rPr/>
        <w:t xml:space="preserve"> </w:t>
      </w:r>
    </w:p>
  </w:footnote>
  <w:footnote w:id="27">
    <w:p>
      <w:pPr>
        <w:pStyle w:val="FootnoteText"/>
        <w:suppressLineNumbers/>
        <w:bidi w:val="0"/>
        <w:ind w:hanging="340" w:start="340"/>
        <w:jc w:val="start"/>
        <w:rPr/>
      </w:pPr>
      <w:r>
        <w:rPr>
          <w:rStyle w:val="FootnoteCharacters"/>
        </w:rPr>
        <w:footnoteRef/>
      </w:r>
      <w:hyperlink r:id="rId21">
        <w:r>
          <w:rPr>
            <w:rStyle w:val="Hyperlink"/>
          </w:rPr>
          <w:tab/>
          <w:t>https://mediarelations.unibe.ch/media_releases/2023/media_releases_2023/global_warming_caused_60_percent_of_swiss_heat_deaths_in_the_summer_of_2022/index_eng.html</w:t>
        </w:r>
      </w:hyperlink>
      <w:r>
        <w:rPr/>
        <w:t xml:space="preserve"> </w:t>
      </w:r>
    </w:p>
  </w:footnote>
  <w:footnote w:id="28">
    <w:p>
      <w:pPr>
        <w:pStyle w:val="FootnoteText"/>
        <w:suppressLineNumbers/>
        <w:bidi w:val="0"/>
        <w:ind w:hanging="340" w:start="340"/>
        <w:jc w:val="start"/>
        <w:rPr/>
      </w:pPr>
      <w:r>
        <w:rPr>
          <w:rStyle w:val="FootnoteCharacters"/>
        </w:rPr>
        <w:footnoteRef/>
      </w:r>
      <w:hyperlink r:id="rId22">
        <w:r>
          <w:rPr>
            <w:rStyle w:val="Hyperlink"/>
          </w:rPr>
          <w:tab/>
          <w:t>https://www.ncbi.nlm.nih.gov/pmc/articles/PMC9017085/</w:t>
        </w:r>
      </w:hyperlink>
      <w:r>
        <w:rPr/>
        <w:t xml:space="preserve"> </w:t>
      </w:r>
    </w:p>
  </w:footnote>
  <w:footnote w:id="29">
    <w:p>
      <w:pPr>
        <w:pStyle w:val="FootnoteText"/>
        <w:bidi w:val="0"/>
        <w:jc w:val="start"/>
        <w:rPr/>
      </w:pPr>
      <w:r>
        <w:rPr>
          <w:rStyle w:val="FootnoteCharacters"/>
        </w:rPr>
        <w:footnoteRef/>
      </w:r>
      <w:r>
        <w:rPr/>
        <w:tab/>
        <w:t>Declaration of interest: I s</w:t>
      </w:r>
      <w:r>
        <w:rPr>
          <w:sz w:val="20"/>
          <w:szCs w:val="20"/>
        </w:rPr>
        <w:t xml:space="preserve">uffer </w:t>
      </w:r>
      <w:r>
        <w:rPr/>
        <w:t xml:space="preserve">from chronic moderate asthma of unknown </w:t>
      </w:r>
      <w:r>
        <w:rPr>
          <w:sz w:val="20"/>
          <w:szCs w:val="20"/>
        </w:rPr>
        <w:t>origin, diagnosed about 25 years ago.</w:t>
      </w:r>
      <w:r>
        <w:rPr/>
        <w:t xml:space="preserve">  </w:t>
      </w:r>
    </w:p>
  </w:footnote>
  <w:footnote w:id="30">
    <w:p>
      <w:pPr>
        <w:pStyle w:val="FootnoteText"/>
        <w:suppressLineNumbers/>
        <w:bidi w:val="0"/>
        <w:ind w:hanging="340" w:start="340"/>
        <w:jc w:val="start"/>
        <w:rPr/>
      </w:pPr>
      <w:r>
        <w:rPr>
          <w:rStyle w:val="FootnoteCharacters"/>
        </w:rPr>
        <w:footnoteRef/>
      </w:r>
      <w:hyperlink r:id="rId23">
        <w:r>
          <w:rPr>
            <w:rStyle w:val="Hyperlink"/>
          </w:rPr>
          <w:tab/>
          <w:t>https://www.theglobaleconomy.com/Switzerland/gasoline_consumption</w:t>
        </w:r>
      </w:hyperlink>
      <w:r>
        <w:rPr/>
        <w:t xml:space="preserve"> </w:t>
      </w:r>
    </w:p>
  </w:footnote>
  <w:footnote w:id="31">
    <w:p>
      <w:pPr>
        <w:pStyle w:val="FootnoteText"/>
        <w:suppressLineNumbers/>
        <w:bidi w:val="0"/>
        <w:ind w:hanging="340" w:start="340"/>
        <w:jc w:val="start"/>
        <w:rPr/>
      </w:pPr>
      <w:r>
        <w:rPr>
          <w:rStyle w:val="FootnoteCharacters"/>
        </w:rPr>
        <w:footnoteRef/>
      </w:r>
      <w:hyperlink r:id="rId24">
        <w:r>
          <w:rPr>
            <w:rStyle w:val="Hyperlink"/>
          </w:rPr>
          <w:tab/>
          <w:t>https://www.who.int/news-room/fact-sheets/detail/household-air-pollution-and-health</w:t>
        </w:r>
      </w:hyperlink>
      <w:r>
        <w:rPr/>
        <w:t xml:space="preserve"> </w:t>
      </w:r>
    </w:p>
  </w:footnote>
  <w:footnote w:id="32">
    <w:p>
      <w:pPr>
        <w:pStyle w:val="FootnoteText"/>
        <w:bidi w:val="0"/>
        <w:jc w:val="start"/>
        <w:rPr/>
      </w:pPr>
      <w:r>
        <w:rPr>
          <w:rStyle w:val="FootnoteCharacters"/>
        </w:rPr>
        <w:footnoteRef/>
      </w:r>
      <w:r>
        <w:rPr/>
        <w:tab/>
        <w:t xml:space="preserve">And if </w:t>
      </w:r>
      <w:r>
        <w:rPr>
          <w:lang w:val="en-US"/>
        </w:rPr>
        <w:t xml:space="preserve">women </w:t>
      </w:r>
      <w:r>
        <w:rPr/>
        <w:t xml:space="preserve">breathe in muck, their </w:t>
      </w:r>
      <w:r>
        <w:rPr>
          <w:i/>
          <w:iCs/>
        </w:rPr>
        <w:t>unborn children</w:t>
      </w:r>
      <w:r>
        <w:rPr/>
        <w:t xml:space="preserve"> may get sick, from billions of carbon particles that pass through the placental barrier. </w:t>
      </w:r>
      <w:hyperlink r:id="rId25">
        <w:r>
          <w:rPr>
            <w:rStyle w:val="Hyperlink"/>
          </w:rPr>
          <w:t>https://pubmed.ncbi.nlm.nih.gov/31530287/</w:t>
        </w:r>
      </w:hyperlink>
      <w:r>
        <w:rPr/>
        <w:t xml:space="preserve">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bidi w:val="0"/>
      <w:jc w:val="center"/>
      <w:rPr/>
    </w:pPr>
    <w:r>
      <w:rPr/>
      <w:t xml:space="preserve">- </w:t>
    </w:r>
    <w:bookmarkStart w:id="0" w:name="PageNumWizard_HEADER_Default_Page_Style9"/>
    <w:r>
      <w:rPr/>
      <w:fldChar w:fldCharType="begin"/>
    </w:r>
    <w:r>
      <w:rPr/>
      <w:instrText xml:space="preserve"> PAGE </w:instrText>
    </w:r>
    <w:r>
      <w:rPr/>
      <w:fldChar w:fldCharType="separate"/>
    </w:r>
    <w:r>
      <w:rPr/>
      <w:t>16</w:t>
    </w:r>
    <w:r>
      <w:rPr/>
      <w:fldChar w:fldCharType="end"/>
    </w:r>
    <w:bookmarkEnd w:id="0"/>
    <w:r>
      <w:rPr/>
      <w:t xml:space="preserve"> -</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none"/>
      <w:suff w:val="nothing"/>
      <w:lvlText w:val="%1"/>
      <w:lvlJc w:val="start"/>
      <w:pPr>
        <w:tabs>
          <w:tab w:val="num" w:pos="0"/>
        </w:tabs>
        <w:ind w:start="0" w:hanging="0"/>
      </w:pPr>
      <w:rPr/>
    </w:lvl>
    <w:lvl w:ilvl="1">
      <w:start w:val="1"/>
      <w:numFmt w:val="none"/>
      <w:suff w:val="nothing"/>
      <w:lvlText w:val="%2"/>
      <w:lvlJc w:val="start"/>
      <w:pPr>
        <w:tabs>
          <w:tab w:val="num" w:pos="0"/>
        </w:tabs>
        <w:ind w:start="0" w:hanging="0"/>
      </w:pPr>
      <w:rPr/>
    </w:lvl>
    <w:lvl w:ilvl="2">
      <w:start w:val="1"/>
      <w:numFmt w:val="none"/>
      <w:suff w:val="nothing"/>
      <w:lvlText w:val="%3"/>
      <w:lvlJc w:val="start"/>
      <w:pPr>
        <w:tabs>
          <w:tab w:val="num" w:pos="0"/>
        </w:tabs>
        <w:ind w:start="0" w:hanging="0"/>
      </w:pPr>
      <w:rPr/>
    </w:lvl>
    <w:lvl w:ilvl="3">
      <w:start w:val="1"/>
      <w:numFmt w:val="none"/>
      <w:suff w:val="nothing"/>
      <w:lvlText w:val="%4"/>
      <w:lvlJc w:val="start"/>
      <w:pPr>
        <w:tabs>
          <w:tab w:val="num" w:pos="0"/>
        </w:tabs>
        <w:ind w:start="0" w:hanging="0"/>
      </w:pPr>
      <w:rPr/>
    </w:lvl>
    <w:lvl w:ilvl="4">
      <w:start w:val="1"/>
      <w:numFmt w:val="none"/>
      <w:suff w:val="nothing"/>
      <w:lvlText w:val="%5"/>
      <w:lvlJc w:val="start"/>
      <w:pPr>
        <w:tabs>
          <w:tab w:val="num" w:pos="0"/>
        </w:tabs>
        <w:ind w:start="0" w:hanging="0"/>
      </w:pPr>
      <w:rPr/>
    </w:lvl>
    <w:lvl w:ilvl="5">
      <w:start w:val="1"/>
      <w:numFmt w:val="none"/>
      <w:suff w:val="nothing"/>
      <w:lvlText w:val="%6"/>
      <w:lvlJc w:val="start"/>
      <w:pPr>
        <w:tabs>
          <w:tab w:val="num" w:pos="0"/>
        </w:tabs>
        <w:ind w:start="0" w:hanging="0"/>
      </w:pPr>
      <w:rPr/>
    </w:lvl>
    <w:lvl w:ilvl="6">
      <w:start w:val="1"/>
      <w:numFmt w:val="none"/>
      <w:suff w:val="nothing"/>
      <w:lvlText w:val="%7"/>
      <w:lvlJc w:val="start"/>
      <w:pPr>
        <w:tabs>
          <w:tab w:val="num" w:pos="0"/>
        </w:tabs>
        <w:ind w:start="0" w:hanging="0"/>
      </w:pPr>
      <w:rPr/>
    </w:lvl>
    <w:lvl w:ilvl="7">
      <w:start w:val="1"/>
      <w:numFmt w:val="none"/>
      <w:suff w:val="nothing"/>
      <w:lvlText w:val="%8"/>
      <w:lvlJc w:val="start"/>
      <w:pPr>
        <w:tabs>
          <w:tab w:val="num" w:pos="0"/>
        </w:tabs>
        <w:ind w:start="0" w:hanging="0"/>
      </w:pPr>
      <w:rPr/>
    </w:lvl>
    <w:lvl w:ilvl="8">
      <w:start w:val="1"/>
      <w:numFmt w:val="none"/>
      <w:suff w:val="nothing"/>
      <w:lvlText w:val="%9"/>
      <w:lvlJc w:val="start"/>
      <w:pPr>
        <w:tabs>
          <w:tab w:val="num" w:pos="0"/>
        </w:tabs>
        <w:ind w:start="0" w:hanging="0"/>
      </w:pPr>
      <w:rPr/>
    </w:lvl>
  </w:abstractNum>
  <w:abstractNum w:abstractNumId="2">
    <w:lvl w:ilvl="0">
      <w:start w:val="1"/>
      <w:numFmt w:val="bullet"/>
      <w:lvlText w:val=""/>
      <w:lvlJc w:val="start"/>
      <w:pPr>
        <w:tabs>
          <w:tab w:val="num" w:pos="720"/>
        </w:tabs>
        <w:ind w:start="720" w:hanging="360"/>
      </w:pPr>
      <w:rPr>
        <w:rFonts w:ascii="Symbol" w:hAnsi="Symbol" w:cs="Symbol" w:hint="default"/>
      </w:rPr>
    </w:lvl>
    <w:lvl w:ilvl="1">
      <w:start w:val="1"/>
      <w:numFmt w:val="bullet"/>
      <w:lvlText w:val="◦"/>
      <w:lvlJc w:val="start"/>
      <w:pPr>
        <w:tabs>
          <w:tab w:val="num" w:pos="1080"/>
        </w:tabs>
        <w:ind w:start="1080" w:hanging="360"/>
      </w:pPr>
      <w:rPr>
        <w:rFonts w:ascii="OpenSymbol" w:hAnsi="OpenSymbol" w:cs="OpenSymbol" w:hint="default"/>
      </w:rPr>
    </w:lvl>
    <w:lvl w:ilvl="2">
      <w:start w:val="1"/>
      <w:numFmt w:val="bullet"/>
      <w:lvlText w:val="▪"/>
      <w:lvlJc w:val="start"/>
      <w:pPr>
        <w:tabs>
          <w:tab w:val="num" w:pos="1440"/>
        </w:tabs>
        <w:ind w:start="1440" w:hanging="360"/>
      </w:pPr>
      <w:rPr>
        <w:rFonts w:ascii="OpenSymbol" w:hAnsi="OpenSymbol" w:cs="OpenSymbol" w:hint="default"/>
      </w:rPr>
    </w:lvl>
    <w:lvl w:ilvl="3">
      <w:start w:val="1"/>
      <w:numFmt w:val="bullet"/>
      <w:lvlText w:val=""/>
      <w:lvlJc w:val="start"/>
      <w:pPr>
        <w:tabs>
          <w:tab w:val="num" w:pos="1800"/>
        </w:tabs>
        <w:ind w:start="1800" w:hanging="360"/>
      </w:pPr>
      <w:rPr>
        <w:rFonts w:ascii="Symbol" w:hAnsi="Symbol" w:cs="Symbol" w:hint="default"/>
      </w:rPr>
    </w:lvl>
    <w:lvl w:ilvl="4">
      <w:start w:val="1"/>
      <w:numFmt w:val="bullet"/>
      <w:lvlText w:val="◦"/>
      <w:lvlJc w:val="start"/>
      <w:pPr>
        <w:tabs>
          <w:tab w:val="num" w:pos="2160"/>
        </w:tabs>
        <w:ind w:start="2160" w:hanging="360"/>
      </w:pPr>
      <w:rPr>
        <w:rFonts w:ascii="OpenSymbol" w:hAnsi="OpenSymbol" w:cs="OpenSymbol" w:hint="default"/>
      </w:rPr>
    </w:lvl>
    <w:lvl w:ilvl="5">
      <w:start w:val="1"/>
      <w:numFmt w:val="bullet"/>
      <w:lvlText w:val="▪"/>
      <w:lvlJc w:val="start"/>
      <w:pPr>
        <w:tabs>
          <w:tab w:val="num" w:pos="2520"/>
        </w:tabs>
        <w:ind w:start="2520" w:hanging="360"/>
      </w:pPr>
      <w:rPr>
        <w:rFonts w:ascii="OpenSymbol" w:hAnsi="OpenSymbol" w:cs="OpenSymbol" w:hint="default"/>
      </w:rPr>
    </w:lvl>
    <w:lvl w:ilvl="6">
      <w:start w:val="1"/>
      <w:numFmt w:val="bullet"/>
      <w:lvlText w:val=""/>
      <w:lvlJc w:val="start"/>
      <w:pPr>
        <w:tabs>
          <w:tab w:val="num" w:pos="2880"/>
        </w:tabs>
        <w:ind w:start="2880" w:hanging="360"/>
      </w:pPr>
      <w:rPr>
        <w:rFonts w:ascii="Symbol" w:hAnsi="Symbol" w:cs="Symbol" w:hint="default"/>
      </w:rPr>
    </w:lvl>
    <w:lvl w:ilvl="7">
      <w:start w:val="1"/>
      <w:numFmt w:val="bullet"/>
      <w:lvlText w:val="◦"/>
      <w:lvlJc w:val="start"/>
      <w:pPr>
        <w:tabs>
          <w:tab w:val="num" w:pos="3240"/>
        </w:tabs>
        <w:ind w:start="3240" w:hanging="360"/>
      </w:pPr>
      <w:rPr>
        <w:rFonts w:ascii="OpenSymbol" w:hAnsi="OpenSymbol" w:cs="OpenSymbol" w:hint="default"/>
      </w:rPr>
    </w:lvl>
    <w:lvl w:ilvl="8">
      <w:start w:val="1"/>
      <w:numFmt w:val="bullet"/>
      <w:lvlText w:val="▪"/>
      <w:lvlJc w:val="start"/>
      <w:pPr>
        <w:tabs>
          <w:tab w:val="num" w:pos="3600"/>
        </w:tabs>
        <w:ind w:start="3600" w:hanging="360"/>
      </w:pPr>
      <w:rPr>
        <w:rFonts w:ascii="OpenSymbol" w:hAnsi="OpenSymbol" w:cs="OpenSymbol" w:hint="default"/>
      </w:rPr>
    </w:lvl>
  </w:abstractNum>
  <w:abstractNum w:abstractNumId="3">
    <w:lvl w:ilvl="0">
      <w:start w:val="1"/>
      <w:numFmt w:val="bullet"/>
      <w:lvlText w:val=""/>
      <w:lvlJc w:val="start"/>
      <w:pPr>
        <w:tabs>
          <w:tab w:val="num" w:pos="795"/>
        </w:tabs>
        <w:ind w:start="795" w:hanging="360"/>
      </w:pPr>
      <w:rPr>
        <w:rFonts w:ascii="Symbol" w:hAnsi="Symbol" w:cs="Symbol" w:hint="default"/>
      </w:rPr>
    </w:lvl>
    <w:lvl w:ilvl="1">
      <w:start w:val="1"/>
      <w:numFmt w:val="bullet"/>
      <w:lvlText w:val="◦"/>
      <w:lvlJc w:val="start"/>
      <w:pPr>
        <w:tabs>
          <w:tab w:val="num" w:pos="1155"/>
        </w:tabs>
        <w:ind w:start="1155" w:hanging="360"/>
      </w:pPr>
      <w:rPr>
        <w:rFonts w:ascii="OpenSymbol" w:hAnsi="OpenSymbol" w:cs="OpenSymbol" w:hint="default"/>
      </w:rPr>
    </w:lvl>
    <w:lvl w:ilvl="2">
      <w:start w:val="1"/>
      <w:numFmt w:val="bullet"/>
      <w:lvlText w:val="▪"/>
      <w:lvlJc w:val="start"/>
      <w:pPr>
        <w:tabs>
          <w:tab w:val="num" w:pos="1515"/>
        </w:tabs>
        <w:ind w:start="1515" w:hanging="360"/>
      </w:pPr>
      <w:rPr>
        <w:rFonts w:ascii="OpenSymbol" w:hAnsi="OpenSymbol" w:cs="OpenSymbol" w:hint="default"/>
      </w:rPr>
    </w:lvl>
    <w:lvl w:ilvl="3">
      <w:start w:val="1"/>
      <w:numFmt w:val="bullet"/>
      <w:lvlText w:val=""/>
      <w:lvlJc w:val="start"/>
      <w:pPr>
        <w:tabs>
          <w:tab w:val="num" w:pos="1875"/>
        </w:tabs>
        <w:ind w:start="1875" w:hanging="360"/>
      </w:pPr>
      <w:rPr>
        <w:rFonts w:ascii="Symbol" w:hAnsi="Symbol" w:cs="Symbol" w:hint="default"/>
      </w:rPr>
    </w:lvl>
    <w:lvl w:ilvl="4">
      <w:start w:val="1"/>
      <w:numFmt w:val="bullet"/>
      <w:lvlText w:val="◦"/>
      <w:lvlJc w:val="start"/>
      <w:pPr>
        <w:tabs>
          <w:tab w:val="num" w:pos="2235"/>
        </w:tabs>
        <w:ind w:start="2235" w:hanging="360"/>
      </w:pPr>
      <w:rPr>
        <w:rFonts w:ascii="OpenSymbol" w:hAnsi="OpenSymbol" w:cs="OpenSymbol" w:hint="default"/>
      </w:rPr>
    </w:lvl>
    <w:lvl w:ilvl="5">
      <w:start w:val="1"/>
      <w:numFmt w:val="bullet"/>
      <w:lvlText w:val="▪"/>
      <w:lvlJc w:val="start"/>
      <w:pPr>
        <w:tabs>
          <w:tab w:val="num" w:pos="2595"/>
        </w:tabs>
        <w:ind w:start="2595" w:hanging="360"/>
      </w:pPr>
      <w:rPr>
        <w:rFonts w:ascii="OpenSymbol" w:hAnsi="OpenSymbol" w:cs="OpenSymbol" w:hint="default"/>
      </w:rPr>
    </w:lvl>
    <w:lvl w:ilvl="6">
      <w:start w:val="1"/>
      <w:numFmt w:val="bullet"/>
      <w:lvlText w:val=""/>
      <w:lvlJc w:val="start"/>
      <w:pPr>
        <w:tabs>
          <w:tab w:val="num" w:pos="2955"/>
        </w:tabs>
        <w:ind w:start="2955" w:hanging="360"/>
      </w:pPr>
      <w:rPr>
        <w:rFonts w:ascii="Symbol" w:hAnsi="Symbol" w:cs="Symbol" w:hint="default"/>
      </w:rPr>
    </w:lvl>
    <w:lvl w:ilvl="7">
      <w:start w:val="1"/>
      <w:numFmt w:val="bullet"/>
      <w:lvlText w:val="◦"/>
      <w:lvlJc w:val="start"/>
      <w:pPr>
        <w:tabs>
          <w:tab w:val="num" w:pos="3315"/>
        </w:tabs>
        <w:ind w:start="3315" w:hanging="360"/>
      </w:pPr>
      <w:rPr>
        <w:rFonts w:ascii="OpenSymbol" w:hAnsi="OpenSymbol" w:cs="OpenSymbol" w:hint="default"/>
      </w:rPr>
    </w:lvl>
    <w:lvl w:ilvl="8">
      <w:start w:val="1"/>
      <w:numFmt w:val="bullet"/>
      <w:lvlText w:val="▪"/>
      <w:lvlJc w:val="start"/>
      <w:pPr>
        <w:tabs>
          <w:tab w:val="num" w:pos="3675"/>
        </w:tabs>
        <w:ind w:start="3675" w:hanging="360"/>
      </w:pPr>
      <w:rPr>
        <w:rFonts w:ascii="OpenSymbol" w:hAnsi="OpenSymbol" w:cs="OpenSymbol" w:hint="default"/>
      </w:rPr>
    </w:lvl>
  </w:abstractNum>
  <w:abstractNum w:abstractNumId="4">
    <w:lvl w:ilvl="0">
      <w:start w:val="1"/>
      <w:numFmt w:val="bullet"/>
      <w:lvlText w:val=""/>
      <w:lvlJc w:val="start"/>
      <w:pPr>
        <w:tabs>
          <w:tab w:val="num" w:pos="720"/>
        </w:tabs>
        <w:ind w:start="720" w:hanging="360"/>
      </w:pPr>
      <w:rPr>
        <w:rFonts w:ascii="Symbol" w:hAnsi="Symbol" w:cs="Symbol" w:hint="default"/>
      </w:rPr>
    </w:lvl>
    <w:lvl w:ilvl="1">
      <w:start w:val="1"/>
      <w:numFmt w:val="bullet"/>
      <w:lvlText w:val="◦"/>
      <w:lvlJc w:val="start"/>
      <w:pPr>
        <w:tabs>
          <w:tab w:val="num" w:pos="1080"/>
        </w:tabs>
        <w:ind w:start="1080" w:hanging="360"/>
      </w:pPr>
      <w:rPr>
        <w:rFonts w:ascii="OpenSymbol" w:hAnsi="OpenSymbol" w:cs="OpenSymbol" w:hint="default"/>
      </w:rPr>
    </w:lvl>
    <w:lvl w:ilvl="2">
      <w:start w:val="1"/>
      <w:numFmt w:val="bullet"/>
      <w:lvlText w:val="▪"/>
      <w:lvlJc w:val="start"/>
      <w:pPr>
        <w:tabs>
          <w:tab w:val="num" w:pos="1440"/>
        </w:tabs>
        <w:ind w:start="1440" w:hanging="360"/>
      </w:pPr>
      <w:rPr>
        <w:rFonts w:ascii="OpenSymbol" w:hAnsi="OpenSymbol" w:cs="OpenSymbol" w:hint="default"/>
      </w:rPr>
    </w:lvl>
    <w:lvl w:ilvl="3">
      <w:start w:val="1"/>
      <w:numFmt w:val="bullet"/>
      <w:lvlText w:val=""/>
      <w:lvlJc w:val="start"/>
      <w:pPr>
        <w:tabs>
          <w:tab w:val="num" w:pos="1800"/>
        </w:tabs>
        <w:ind w:start="1800" w:hanging="360"/>
      </w:pPr>
      <w:rPr>
        <w:rFonts w:ascii="Symbol" w:hAnsi="Symbol" w:cs="Symbol" w:hint="default"/>
      </w:rPr>
    </w:lvl>
    <w:lvl w:ilvl="4">
      <w:start w:val="1"/>
      <w:numFmt w:val="bullet"/>
      <w:lvlText w:val="◦"/>
      <w:lvlJc w:val="start"/>
      <w:pPr>
        <w:tabs>
          <w:tab w:val="num" w:pos="2160"/>
        </w:tabs>
        <w:ind w:start="2160" w:hanging="360"/>
      </w:pPr>
      <w:rPr>
        <w:rFonts w:ascii="OpenSymbol" w:hAnsi="OpenSymbol" w:cs="OpenSymbol" w:hint="default"/>
      </w:rPr>
    </w:lvl>
    <w:lvl w:ilvl="5">
      <w:start w:val="1"/>
      <w:numFmt w:val="bullet"/>
      <w:lvlText w:val="▪"/>
      <w:lvlJc w:val="start"/>
      <w:pPr>
        <w:tabs>
          <w:tab w:val="num" w:pos="2520"/>
        </w:tabs>
        <w:ind w:start="2520" w:hanging="360"/>
      </w:pPr>
      <w:rPr>
        <w:rFonts w:ascii="OpenSymbol" w:hAnsi="OpenSymbol" w:cs="OpenSymbol" w:hint="default"/>
      </w:rPr>
    </w:lvl>
    <w:lvl w:ilvl="6">
      <w:start w:val="1"/>
      <w:numFmt w:val="bullet"/>
      <w:lvlText w:val=""/>
      <w:lvlJc w:val="start"/>
      <w:pPr>
        <w:tabs>
          <w:tab w:val="num" w:pos="2880"/>
        </w:tabs>
        <w:ind w:start="2880" w:hanging="360"/>
      </w:pPr>
      <w:rPr>
        <w:rFonts w:ascii="Symbol" w:hAnsi="Symbol" w:cs="Symbol" w:hint="default"/>
      </w:rPr>
    </w:lvl>
    <w:lvl w:ilvl="7">
      <w:start w:val="1"/>
      <w:numFmt w:val="bullet"/>
      <w:lvlText w:val="◦"/>
      <w:lvlJc w:val="start"/>
      <w:pPr>
        <w:tabs>
          <w:tab w:val="num" w:pos="3240"/>
        </w:tabs>
        <w:ind w:start="3240" w:hanging="360"/>
      </w:pPr>
      <w:rPr>
        <w:rFonts w:ascii="OpenSymbol" w:hAnsi="OpenSymbol" w:cs="OpenSymbol" w:hint="default"/>
      </w:rPr>
    </w:lvl>
    <w:lvl w:ilvl="8">
      <w:start w:val="1"/>
      <w:numFmt w:val="bullet"/>
      <w:lvlText w:val="▪"/>
      <w:lvlJc w:val="start"/>
      <w:pPr>
        <w:tabs>
          <w:tab w:val="num" w:pos="3600"/>
        </w:tabs>
        <w:ind w:start="3600" w:hanging="360"/>
      </w:pPr>
      <w:rPr>
        <w:rFonts w:ascii="OpenSymbol" w:hAnsi="OpenSymbol" w:cs="OpenSymbol" w:hint="default"/>
      </w:rPr>
    </w:lvl>
  </w:abstractNum>
  <w:abstractNum w:abstractNumId="5">
    <w:lvl w:ilvl="0">
      <w:start w:val="1"/>
      <w:numFmt w:val="none"/>
      <w:suff w:val="nothing"/>
      <w:lvlText w:val=""/>
      <w:lvlJc w:val="start"/>
      <w:pPr>
        <w:tabs>
          <w:tab w:val="num" w:pos="0"/>
        </w:tabs>
        <w:ind w:start="0" w:hanging="0"/>
      </w:pPr>
    </w:lvl>
    <w:lvl w:ilvl="1">
      <w:start w:val="1"/>
      <w:numFmt w:val="none"/>
      <w:suff w:val="nothing"/>
      <w:lvlText w:val=""/>
      <w:lvlJc w:val="start"/>
      <w:pPr>
        <w:tabs>
          <w:tab w:val="num" w:pos="0"/>
        </w:tabs>
        <w:ind w:start="0" w:hanging="0"/>
      </w:pPr>
    </w:lvl>
    <w:lvl w:ilvl="2">
      <w:start w:val="1"/>
      <w:numFmt w:val="none"/>
      <w:suff w:val="nothing"/>
      <w:lvlText w:val=""/>
      <w:lvlJc w:val="start"/>
      <w:pPr>
        <w:tabs>
          <w:tab w:val="num" w:pos="0"/>
        </w:tabs>
        <w:ind w:start="0" w:hanging="0"/>
      </w:pPr>
    </w:lvl>
    <w:lvl w:ilvl="3">
      <w:start w:val="1"/>
      <w:numFmt w:val="none"/>
      <w:suff w:val="nothing"/>
      <w:lvlText w:val=""/>
      <w:lvlJc w:val="start"/>
      <w:pPr>
        <w:tabs>
          <w:tab w:val="num" w:pos="0"/>
        </w:tabs>
        <w:ind w:start="0" w:hanging="0"/>
      </w:pPr>
    </w:lvl>
    <w:lvl w:ilvl="4">
      <w:start w:val="1"/>
      <w:numFmt w:val="none"/>
      <w:suff w:val="nothing"/>
      <w:lvlText w:val=""/>
      <w:lvlJc w:val="start"/>
      <w:pPr>
        <w:tabs>
          <w:tab w:val="num" w:pos="0"/>
        </w:tabs>
        <w:ind w:start="0" w:hanging="0"/>
      </w:pPr>
    </w:lvl>
    <w:lvl w:ilvl="5">
      <w:start w:val="1"/>
      <w:numFmt w:val="none"/>
      <w:suff w:val="nothing"/>
      <w:lvlText w:val=""/>
      <w:lvlJc w:val="start"/>
      <w:pPr>
        <w:tabs>
          <w:tab w:val="num" w:pos="0"/>
        </w:tabs>
        <w:ind w:start="0" w:hanging="0"/>
      </w:pPr>
    </w:lvl>
    <w:lvl w:ilvl="6">
      <w:start w:val="1"/>
      <w:numFmt w:val="none"/>
      <w:suff w:val="nothing"/>
      <w:lvlText w:val=""/>
      <w:lvlJc w:val="start"/>
      <w:pPr>
        <w:tabs>
          <w:tab w:val="num" w:pos="0"/>
        </w:tabs>
        <w:ind w:start="0" w:hanging="0"/>
      </w:pPr>
    </w:lvl>
    <w:lvl w:ilvl="7">
      <w:start w:val="1"/>
      <w:numFmt w:val="none"/>
      <w:suff w:val="nothing"/>
      <w:lvlText w:val=""/>
      <w:lvlJc w:val="start"/>
      <w:pPr>
        <w:tabs>
          <w:tab w:val="num" w:pos="0"/>
        </w:tabs>
        <w:ind w:start="0" w:hanging="0"/>
      </w:pPr>
    </w:lvl>
    <w:lvl w:ilvl="8">
      <w:start w:val="1"/>
      <w:numFmt w:val="none"/>
      <w:suff w:val="nothing"/>
      <w:lvlText w:val=""/>
      <w:lvlJc w:val="start"/>
      <w:pPr>
        <w:tabs>
          <w:tab w:val="num" w:pos="0"/>
        </w:tabs>
        <w:ind w:start="0" w:hanging="0"/>
      </w:p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w="http://schemas.openxmlformats.org/wordprocessingml/2006/main">
  <w:zoom w:percent="100"/>
  <w:trackRevisions/>
  <w:defaultTabStop w:val="709"/>
  <w:autoHyphenation w:val="true"/>
  <w:footnotePr>
    <w:numFmt w:val="decimal"/>
    <w:footnote w:id="0"/>
    <w:footnote w:id="1"/>
  </w:footnotePr>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Arial"/>
        <w:kern w:val="2"/>
        <w:sz w:val="30"/>
        <w:szCs w:val="24"/>
        <w:lang w:val="en-GB" w:eastAsia="zh-CN" w:bidi="hi-IN"/>
      </w:rPr>
    </w:rPrDefault>
    <w:pPrDefault>
      <w:pPr>
        <w:suppressAutoHyphens w:val="true"/>
      </w:pPr>
    </w:pPrDefault>
  </w:docDefaults>
  <w:style w:type="paragraph" w:styleId="Normal">
    <w:name w:val="Normal"/>
    <w:qFormat/>
    <w:pPr>
      <w:widowControl/>
      <w:suppressAutoHyphens w:val="true"/>
      <w:overflowPunct w:val="false"/>
      <w:bidi w:val="0"/>
      <w:spacing w:before="0" w:after="0"/>
      <w:jc w:val="start"/>
    </w:pPr>
    <w:rPr>
      <w:rFonts w:ascii="Liberation Serif" w:hAnsi="Liberation Serif" w:eastAsia="NSimSun" w:cs="Arial"/>
      <w:color w:val="auto"/>
      <w:kern w:val="2"/>
      <w:sz w:val="30"/>
      <w:szCs w:val="24"/>
      <w:lang w:val="en-GB" w:eastAsia="zh-CN" w:bidi="hi-IN"/>
    </w:rPr>
  </w:style>
  <w:style w:type="paragraph" w:styleId="Heading1">
    <w:name w:val="Heading 1"/>
    <w:basedOn w:val="Heading"/>
    <w:next w:val="BodyText"/>
    <w:qFormat/>
    <w:pPr>
      <w:numPr>
        <w:ilvl w:val="0"/>
        <w:numId w:val="0"/>
      </w:numPr>
      <w:spacing w:before="240" w:after="120"/>
      <w:outlineLvl w:val="0"/>
    </w:pPr>
    <w:rPr>
      <w:rFonts w:ascii="Liberation Serif" w:hAnsi="Liberation Serif" w:eastAsia="NSimSun" w:cs="Arial"/>
      <w:b/>
      <w:bCs/>
      <w:sz w:val="48"/>
      <w:szCs w:val="48"/>
    </w:rPr>
  </w:style>
  <w:style w:type="paragraph" w:styleId="Heading2">
    <w:name w:val="Heading 2"/>
    <w:basedOn w:val="Heading"/>
    <w:next w:val="BodyText"/>
    <w:qFormat/>
    <w:pPr>
      <w:numPr>
        <w:ilvl w:val="1"/>
        <w:numId w:val="1"/>
      </w:numPr>
      <w:spacing w:before="200" w:after="120"/>
      <w:outlineLvl w:val="1"/>
    </w:pPr>
    <w:rPr>
      <w:b/>
      <w:bCs/>
      <w:sz w:val="32"/>
      <w:szCs w:val="32"/>
    </w:rPr>
  </w:style>
  <w:style w:type="character" w:styleId="FootnoteCharacters">
    <w:name w:val="Footnote Characters"/>
    <w:qFormat/>
    <w:rPr>
      <w:vertAlign w:val="superscript"/>
    </w:rPr>
  </w:style>
  <w:style w:type="character" w:styleId="FootnoteReference">
    <w:name w:val="Footnote Reference"/>
    <w:rPr>
      <w:vertAlign w:val="superscript"/>
    </w:rPr>
  </w:style>
  <w:style w:type="character" w:styleId="Hyperlink">
    <w:name w:val="Hyperlink"/>
    <w:rPr>
      <w:color w:val="000080"/>
      <w:u w:val="single"/>
    </w:rPr>
  </w:style>
  <w:style w:type="character" w:styleId="Strong">
    <w:name w:val="Strong"/>
    <w:qFormat/>
    <w:rPr>
      <w:b/>
      <w:bCs/>
    </w:rPr>
  </w:style>
  <w:style w:type="character" w:styleId="FollowedHyperlink">
    <w:name w:val="FollowedHyperlink"/>
    <w:rPr>
      <w:color w:val="800000"/>
      <w:u w:val="single"/>
    </w:rPr>
  </w:style>
  <w:style w:type="character" w:styleId="Bullets">
    <w:name w:val="Bullets"/>
    <w:qFormat/>
    <w:rPr>
      <w:rFonts w:ascii="OpenSymbol" w:hAnsi="OpenSymbol" w:eastAsia="OpenSymbol" w:cs="OpenSymbol"/>
    </w:rPr>
  </w:style>
  <w:style w:type="character" w:styleId="Emphasis">
    <w:name w:val="Emphasis"/>
    <w:qFormat/>
    <w:rPr>
      <w:i/>
      <w:iCs/>
    </w:rPr>
  </w:style>
  <w:style w:type="character" w:styleId="NumberingSymbols">
    <w:name w:val="Numbering Symbols"/>
    <w:qFormat/>
    <w:rPr/>
  </w:style>
  <w:style w:type="character" w:styleId="EndnoteCharacters">
    <w:name w:val="Endnote Characters"/>
    <w:qFormat/>
    <w:rPr>
      <w:vertAlign w:val="superscript"/>
    </w:rPr>
  </w:style>
  <w:style w:type="character" w:styleId="EndnoteReference">
    <w:name w:val="Endnote Reference"/>
    <w:rPr>
      <w:vertAlign w:val="superscript"/>
    </w:rPr>
  </w:style>
  <w:style w:type="paragraph" w:styleId="Heading">
    <w:name w:val="Heading"/>
    <w:basedOn w:val="Normal"/>
    <w:next w:val="BodyText"/>
    <w:qFormat/>
    <w:pPr>
      <w:keepNext w:val="true"/>
      <w:spacing w:before="240" w:after="120"/>
    </w:pPr>
    <w:rPr>
      <w:rFonts w:ascii="Liberation Sans" w:hAnsi="Liberation Sans" w:eastAsia="Microsoft YaHei" w:cs="Arial"/>
      <w:sz w:val="30"/>
      <w:szCs w:val="28"/>
    </w:rPr>
  </w:style>
  <w:style w:type="paragraph" w:styleId="BodyText">
    <w:name w:val="Body Text"/>
    <w:basedOn w:val="Normal"/>
    <w:pPr>
      <w:spacing w:lineRule="auto" w:line="276" w:before="0" w:after="140"/>
    </w:pPr>
    <w:rPr/>
  </w:style>
  <w:style w:type="paragraph" w:styleId="List">
    <w:name w:val="List"/>
    <w:basedOn w:val="BodyText"/>
    <w:pPr/>
    <w:rPr>
      <w:rFonts w:cs="Arial"/>
    </w:rPr>
  </w:style>
  <w:style w:type="paragraph" w:styleId="Caption">
    <w:name w:val="Caption"/>
    <w:basedOn w:val="Normal"/>
    <w:qFormat/>
    <w:pPr>
      <w:suppressLineNumbers/>
      <w:spacing w:before="120" w:after="120"/>
    </w:pPr>
    <w:rPr>
      <w:rFonts w:cs="Arial"/>
      <w:i/>
      <w:iCs/>
      <w:sz w:val="24"/>
      <w:szCs w:val="24"/>
    </w:rPr>
  </w:style>
  <w:style w:type="paragraph" w:styleId="Index">
    <w:name w:val="Index"/>
    <w:basedOn w:val="Normal"/>
    <w:qFormat/>
    <w:pPr>
      <w:suppressLineNumbers/>
    </w:pPr>
    <w:rPr>
      <w:rFonts w:cs="Arial"/>
      <w:sz w:val="24"/>
    </w:rPr>
  </w:style>
  <w:style w:type="paragraph" w:styleId="FootnoteText">
    <w:name w:val="Footnote Text"/>
    <w:basedOn w:val="Normal"/>
    <w:pPr>
      <w:suppressLineNumbers/>
      <w:ind w:hanging="340" w:start="340"/>
    </w:pPr>
    <w:rPr>
      <w:sz w:val="20"/>
      <w:szCs w:val="20"/>
    </w:rPr>
  </w:style>
  <w:style w:type="paragraph" w:styleId="PreformattedText">
    <w:name w:val="Preformatted Text"/>
    <w:basedOn w:val="Normal"/>
    <w:qFormat/>
    <w:pPr>
      <w:spacing w:before="0" w:after="0"/>
    </w:pPr>
    <w:rPr>
      <w:rFonts w:ascii="Liberation Mono" w:hAnsi="Liberation Mono" w:eastAsia="NSimSun" w:cs="Liberation Mono"/>
      <w:sz w:val="20"/>
      <w:szCs w:val="20"/>
    </w:rPr>
  </w:style>
  <w:style w:type="paragraph" w:styleId="HeaderandFooter">
    <w:name w:val="Header and Footer"/>
    <w:basedOn w:val="Normal"/>
    <w:qFormat/>
    <w:pPr>
      <w:suppressLineNumbers/>
      <w:tabs>
        <w:tab w:val="clear" w:pos="709"/>
        <w:tab w:val="center" w:pos="4819" w:leader="none"/>
        <w:tab w:val="right" w:pos="9638" w:leader="none"/>
      </w:tabs>
    </w:pPr>
    <w:rPr/>
  </w:style>
  <w:style w:type="paragraph" w:styleId="Header">
    <w:name w:val="Header"/>
    <w:basedOn w:val="HeaderandFooter"/>
    <w:pPr>
      <w:suppressLineNumbers/>
    </w:pPr>
    <w:rPr/>
  </w:style>
  <w:style w:type="paragraph" w:styleId="Footer">
    <w:name w:val="Footer"/>
    <w:basedOn w:val="HeaderandFooter"/>
    <w:pPr>
      <w:suppressLineNumbers/>
    </w:pPr>
    <w:rPr/>
  </w:style>
  <w:style w:type="numbering" w:styleId="Bullet">
    <w:name w:val="Bullet •"/>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s://creativecommons.org/licenses/by/4.0/" TargetMode="External"/><Relationship Id="rId3" Type="http://schemas.openxmlformats.org/officeDocument/2006/relationships/hyperlink" Target="http://www.jameswimberley.es/Notes/Memo_Seniorinnen_case,docx" TargetMode="External"/><Relationship Id="rId4" Type="http://schemas.openxmlformats.org/officeDocument/2006/relationships/image" Target="media/image1.png"/><Relationship Id="rId5" Type="http://schemas.openxmlformats.org/officeDocument/2006/relationships/image" Target="media/image1.png"/><Relationship Id="rId6" Type="http://schemas.openxmlformats.org/officeDocument/2006/relationships/header" Target="header1.xml"/><Relationship Id="rId7" Type="http://schemas.openxmlformats.org/officeDocument/2006/relationships/footer" Target="footer1.xml"/><Relationship Id="rId8" Type="http://schemas.openxmlformats.org/officeDocument/2006/relationships/footnotes" Target="footnotes.xml"/><Relationship Id="rId9" Type="http://schemas.openxmlformats.org/officeDocument/2006/relationships/comments" Target="comments.xml"/><Relationship Id="rId10" Type="http://schemas.openxmlformats.org/officeDocument/2006/relationships/numbering" Target="numbering.xml"/><Relationship Id="rId11" Type="http://schemas.openxmlformats.org/officeDocument/2006/relationships/fontTable" Target="fontTable.xml"/><Relationship Id="rId12" Type="http://schemas.openxmlformats.org/officeDocument/2006/relationships/settings" Target="settings.xml"/><Relationship Id="rId13" Type="http://schemas.openxmlformats.org/officeDocument/2006/relationships/theme" Target="theme/theme1.xml"/>
</Relationships>
</file>

<file path=word/_rels/footnotes.xml.rels><?xml version="1.0" encoding="UTF-8"?>
<Relationships xmlns="http://schemas.openxmlformats.org/package/2006/relationships"><Relationship Id="rId1" Type="http://schemas.openxmlformats.org/officeDocument/2006/relationships/hyperlink" Target="https://hudoc.echr.coe.int/eng?i=001-233206" TargetMode="External"/><Relationship Id="rId2" Type="http://schemas.openxmlformats.org/officeDocument/2006/relationships/hyperlink" Target="https://www.epa.gov/system/files/documents/2023-12/epa_scghg_2023_report_final.pdf" TargetMode="External"/><Relationship Id="rId3" Type="http://schemas.openxmlformats.org/officeDocument/2006/relationships/hyperlink" Target="https://read.oecd-ilibrary.org/taxation/effective-carbon-rates-2023_b84d5b36-en" TargetMode="External"/><Relationship Id="rId4" Type="http://schemas.openxmlformats.org/officeDocument/2006/relationships/hyperlink" Target="https://www.oecd.org/climate-change/inclusive-forum-on-carbon-mitigation-approaches/" TargetMode="External"/><Relationship Id="rId5" Type="http://schemas.openxmlformats.org/officeDocument/2006/relationships/hyperlink" Target="https://www.whitehouse.gov/wp-content/uploads/2023/11/CircularA-4.pdf" TargetMode="External"/><Relationship Id="rId6" Type="http://schemas.openxmlformats.org/officeDocument/2006/relationships/hyperlink" Target="https://data.oecd.org/" TargetMode="External"/><Relationship Id="rId7" Type="http://schemas.openxmlformats.org/officeDocument/2006/relationships/hyperlink" Target="http://mudancasclimaticas.cptec.inpe.br/~rmclima/pdfs/destaques/sternreview_report_complete.pdf" TargetMode="External"/><Relationship Id="rId8" Type="http://schemas.openxmlformats.org/officeDocument/2006/relationships/hyperlink" Target="http://mudancasclimaticas.cptec.inpe.br/~rmclima/pdfs/destaques/sternreview_report_complete.pdf" TargetMode="External"/><Relationship Id="rId9" Type="http://schemas.openxmlformats.org/officeDocument/2006/relationships/hyperlink" Target="http://mudancasclimaticas.cptec.inpe.br/~rmclima/pdfs/destaques/sternreview_report_complete.pdf" TargetMode="External"/><Relationship Id="rId10" Type="http://schemas.openxmlformats.org/officeDocument/2006/relationships/hyperlink" Target="https://johnquiggin.com/2012/04/22/future-generations-are-already-here/" TargetMode="External"/><Relationship Id="rId11" Type="http://schemas.openxmlformats.org/officeDocument/2006/relationships/hyperlink" Target="https://de.wikiquote.org/wiki/Otto_von_Bismarck" TargetMode="External"/><Relationship Id="rId12" Type="http://schemas.openxmlformats.org/officeDocument/2006/relationships/hyperlink" Target="https://theconversation.com/why-is-climate-changes-2-degrees-celsius-of-warming-limit-so-important-82058" TargetMode="External"/><Relationship Id="rId13" Type="http://schemas.openxmlformats.org/officeDocument/2006/relationships/hyperlink" Target="https://en.wikipedia.org/wiki/Demon_core" TargetMode="External"/><Relationship Id="rId14" Type="http://schemas.openxmlformats.org/officeDocument/2006/relationships/hyperlink" Target="https://www.overshootcommission.org/" TargetMode="External"/><Relationship Id="rId15" Type="http://schemas.openxmlformats.org/officeDocument/2006/relationships/hyperlink" Target="https://www.stateofcdr.org/" TargetMode="External"/><Relationship Id="rId16" Type="http://schemas.openxmlformats.org/officeDocument/2006/relationships/hyperlink" Target="http://www.jameswimberley.es/Notes/Overshoot Commission Lamy let.html" TargetMode="External"/><Relationship Id="rId17" Type="http://schemas.openxmlformats.org/officeDocument/2006/relationships/hyperlink" Target="https://about.bnef.com/blog/global-clean-energy-investment-jumps-17-hits-1-8-trillion-in-2023-according-to-bloombergnef-report/" TargetMode="External"/><Relationship Id="rId18" Type="http://schemas.openxmlformats.org/officeDocument/2006/relationships/hyperlink" Target="https://www.eea.europa.eu/en/topics/in-depth/air-pollution/eow-it-affects-our-health" TargetMode="External"/><Relationship Id="rId19" Type="http://schemas.openxmlformats.org/officeDocument/2006/relationships/hyperlink" Target="https://www.ncbi.nlm.nih.gov/pmc/articles/PMC6904854/" TargetMode="External"/><Relationship Id="rId20" Type="http://schemas.openxmlformats.org/officeDocument/2006/relationships/hyperlink" Target="https://www.sciencedirect.com/science/article/pii/S0013935123008216" TargetMode="External"/><Relationship Id="rId21" Type="http://schemas.openxmlformats.org/officeDocument/2006/relationships/hyperlink" Target="https://mediarelations.unibe.ch/media_releases/2023/media_releases_2023/global_warming_caused_60_percent_of_swiss_heat_deaths_in_the_summer_of_2022/index_eng.html" TargetMode="External"/><Relationship Id="rId22" Type="http://schemas.openxmlformats.org/officeDocument/2006/relationships/hyperlink" Target="https://www.ncbi.nlm.nih.gov/pmc/articles/PMC9017085/" TargetMode="External"/><Relationship Id="rId23" Type="http://schemas.openxmlformats.org/officeDocument/2006/relationships/hyperlink" Target="https://www.theglobaleconomy.com/Switzerland/gasoline_consumption" TargetMode="External"/><Relationship Id="rId24" Type="http://schemas.openxmlformats.org/officeDocument/2006/relationships/hyperlink" Target="https://www.who.int/news-room/fact-sheets/detail/household-air-pollution-and-health" TargetMode="External"/><Relationship Id="rId25" Type="http://schemas.openxmlformats.org/officeDocument/2006/relationships/hyperlink" Target="https://pubmed.ncbi.nlm.nih.gov/31530287/" TargetMode="External"/>
</Relationships>
</file>

<file path=word/theme/theme1.xml><?xml version="1.0" encoding="utf-8"?>
<a:theme xmlns:a="http://schemas.openxmlformats.org/drawingml/2006/main" xmlns:r="http://schemas.openxmlformats.org/officeDocument/2006/relationships" name="Office Them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
  <TotalTime>2608</TotalTime>
  <Application>LibreOffice/7.6.6.3$Windows_X86_64 LibreOffice_project/d97b2716a9a4a2ce1391dee1765565ea469b0ae7</Application>
  <AppVersion>15.0000</AppVersion>
  <Pages>16</Pages>
  <Words>5148</Words>
  <Characters>28437</Characters>
  <CharactersWithSpaces>33544</CharactersWithSpaces>
  <Paragraphs>95</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2024-04-30T10:32:02Z</dcterms:created>
  <dc:creator/>
  <dc:description/>
  <dc:language>en-IE</dc:language>
  <cp:lastModifiedBy/>
  <dcterms:modified xsi:type="dcterms:W3CDTF">2024-05-19T13:27:22Z</dcterms:modified>
  <cp:revision>38</cp:revision>
  <dc:subject/>
  <dc:title/>
</cp:coreProperties>
</file>

<file path=docProps/custom.xml><?xml version="1.0" encoding="utf-8"?>
<Properties xmlns="http://schemas.openxmlformats.org/officeDocument/2006/custom-properties" xmlns:vt="http://schemas.openxmlformats.org/officeDocument/2006/docPropsVTypes"/>
</file>